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《绍兴市城市绿化管理办法》政策解读</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制定出台《绍兴市城市绿化管理办法》（以下简称《办法》），是补齐我市政策短板、提升城市功能品质、增强居民幸福感的必要之举。2025年12月31日市人民政府第77次常务会议审议通过本办法，相关政策解读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深入贯彻落实习近平生态文明思想，践行绿色发展理念，我市持续推进城市绿化建设，不断改善城市生态环境，在建成区绿化覆盖率、人均公园绿地面积等方面取得积极进展。与此同时，当前仍存在绿化管理体制机制不畅，以及园林绿化精细化、智慧化水平有待提升等问题。通过制定《办法》，系统确立建设、管理、养护、执法等各环节的标准与规范，将有助于从制度层面根本提升我市园林绿化建设管理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二、主要内容</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eastAsia="zh-CN"/>
          <w:woUserID w:val="2"/>
        </w:rPr>
        <w:t>本</w:t>
      </w:r>
      <w:r>
        <w:rPr>
          <w:rFonts w:hint="eastAsia" w:ascii="仿宋_GB2312" w:hAnsi="仿宋_GB2312" w:eastAsia="仿宋_GB2312" w:cs="仿宋_GB2312"/>
          <w:b w:val="0"/>
          <w:bCs w:val="0"/>
          <w:color w:val="auto"/>
          <w:sz w:val="32"/>
          <w:szCs w:val="32"/>
          <w:lang w:val="en-US" w:eastAsia="zh-CN"/>
        </w:rPr>
        <w:t>《办法》以《城市绿化管理条例》《古树名木保护条例》《城市公园管理办法》《浙江省城市绿化管理办法》等相关上位法为依据，分总则、规划和建设、保护和管理、法律责任、附则共五章29条。除适用范围、工作原则、部门职责、施行时间等政府令基本框架要素外，《办法》明确了全市绿化的规划和建设、保护和管理等具体要求，并针对相关违反本办法规定的行为，明确了处罚主体和处罚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三、主要特点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strike w:val="0"/>
          <w:dstrike w:val="0"/>
          <w:color w:val="auto"/>
          <w:kern w:val="0"/>
          <w:sz w:val="32"/>
          <w:szCs w:val="32"/>
          <w:highlight w:val="none"/>
          <w:lang w:val="en-US" w:eastAsia="zh-CN"/>
        </w:rPr>
      </w:pPr>
      <w:r>
        <w:rPr>
          <w:rFonts w:hint="eastAsia" w:ascii="楷体_GB2312" w:hAnsi="楷体_GB2312" w:eastAsia="楷体_GB2312" w:cs="楷体_GB2312"/>
          <w:strike w:val="0"/>
          <w:dstrike w:val="0"/>
          <w:color w:val="auto"/>
          <w:kern w:val="0"/>
          <w:sz w:val="32"/>
          <w:szCs w:val="32"/>
          <w:highlight w:val="none"/>
          <w:lang w:val="en-US" w:eastAsia="zh-CN"/>
        </w:rPr>
        <w:t>（一）解决监管空白。</w:t>
      </w:r>
      <w:r>
        <w:rPr>
          <w:rFonts w:hint="eastAsia" w:ascii="仿宋_GB2312" w:hAnsi="仿宋_GB2312" w:eastAsia="仿宋_GB2312" w:cs="仿宋_GB2312"/>
          <w:strike w:val="0"/>
          <w:dstrike w:val="0"/>
          <w:color w:val="auto"/>
          <w:kern w:val="0"/>
          <w:sz w:val="32"/>
          <w:szCs w:val="32"/>
          <w:highlight w:val="none"/>
          <w:lang w:val="en-US" w:eastAsia="zh-CN"/>
        </w:rPr>
        <w:t>对上位法不够明确的问题，如居住区用地范围内封闭管理区域外的附属绿地养护管理（第十八条）、改变用地性质的管理（第二十条）等作出明确规定。在上位法规定禁止性行为基础上细化增加如“除划定的特定区域外，在绿地内野炊烧烤、焚烧物品、行驶停放车辆”等内容</w:t>
      </w:r>
      <w:r>
        <w:rPr>
          <w:rFonts w:hint="default" w:ascii="仿宋_GB2312" w:hAnsi="Calibri" w:eastAsia="仿宋_GB2312" w:cs="仿宋_GB2312"/>
          <w:color w:val="auto"/>
          <w:kern w:val="0"/>
          <w:sz w:val="32"/>
          <w:szCs w:val="32"/>
          <w:lang w:val="en-US" w:eastAsia="zh-CN" w:bidi="ar"/>
        </w:rPr>
        <w:t>（第二十二条）</w:t>
      </w:r>
      <w:r>
        <w:rPr>
          <w:rFonts w:hint="eastAsia" w:ascii="仿宋_GB2312" w:hAnsi="仿宋_GB2312" w:eastAsia="仿宋_GB2312" w:cs="仿宋_GB2312"/>
          <w:strike w:val="0"/>
          <w:dstrike w:val="0"/>
          <w:color w:val="auto"/>
          <w:kern w:val="0"/>
          <w:sz w:val="32"/>
          <w:szCs w:val="32"/>
          <w:highlight w:val="none"/>
          <w:lang w:val="en-US" w:eastAsia="zh-CN"/>
        </w:rPr>
        <w:t>，解决监管执法空白。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strike w:val="0"/>
          <w:dstrike w:val="0"/>
          <w:color w:val="auto"/>
          <w:kern w:val="0"/>
          <w:sz w:val="32"/>
          <w:szCs w:val="32"/>
          <w:highlight w:val="none"/>
          <w:lang w:val="en-US" w:eastAsia="zh-CN"/>
        </w:rPr>
      </w:pPr>
      <w:r>
        <w:rPr>
          <w:rFonts w:hint="eastAsia" w:ascii="楷体_GB2312" w:hAnsi="楷体_GB2312" w:eastAsia="楷体_GB2312" w:cs="楷体_GB2312"/>
          <w:strike w:val="0"/>
          <w:dstrike w:val="0"/>
          <w:color w:val="auto"/>
          <w:kern w:val="0"/>
          <w:sz w:val="32"/>
          <w:szCs w:val="32"/>
          <w:highlight w:val="none"/>
          <w:lang w:val="en-US" w:eastAsia="zh-CN"/>
        </w:rPr>
        <w:t>（二）明确监管责任。</w:t>
      </w:r>
      <w:r>
        <w:rPr>
          <w:rFonts w:hint="eastAsia" w:ascii="仿宋_GB2312" w:hAnsi="仿宋_GB2312" w:eastAsia="仿宋_GB2312" w:cs="仿宋_GB2312"/>
          <w:strike w:val="0"/>
          <w:dstrike w:val="0"/>
          <w:color w:val="auto"/>
          <w:kern w:val="0"/>
          <w:sz w:val="32"/>
          <w:szCs w:val="32"/>
          <w:highlight w:val="none"/>
          <w:lang w:val="en-US" w:eastAsia="zh-CN"/>
        </w:rPr>
        <w:t>明确市、县（市、区）人民政府及其有关部门、镇人民政府和街道办事处的职责（</w:t>
      </w:r>
      <w:r>
        <w:rPr>
          <w:rFonts w:hint="default" w:ascii="仿宋_GB2312" w:hAnsi="Calibri" w:eastAsia="仿宋_GB2312" w:cs="仿宋_GB2312"/>
          <w:color w:val="auto"/>
          <w:kern w:val="0"/>
          <w:sz w:val="32"/>
          <w:szCs w:val="32"/>
          <w:lang w:val="en-US" w:eastAsia="zh-CN" w:bidi="ar"/>
        </w:rPr>
        <w:t>第四、第五条</w:t>
      </w:r>
      <w:r>
        <w:rPr>
          <w:rFonts w:hint="eastAsia" w:ascii="仿宋_GB2312" w:hAnsi="仿宋_GB2312" w:eastAsia="仿宋_GB2312" w:cs="仿宋_GB2312"/>
          <w:strike w:val="0"/>
          <w:dstrike w:val="0"/>
          <w:color w:val="auto"/>
          <w:kern w:val="0"/>
          <w:sz w:val="32"/>
          <w:szCs w:val="32"/>
          <w:highlight w:val="none"/>
          <w:lang w:val="en-US" w:eastAsia="zh-CN"/>
        </w:rPr>
        <w:t>）。按照不同的城市绿化权属确定不同的城市绿化养护管理责任和养护要求（第十八条）。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lang w:val="en-US" w:eastAsia="zh-CN"/>
        </w:rPr>
      </w:pPr>
      <w:r>
        <w:rPr>
          <w:rFonts w:hint="eastAsia" w:ascii="楷体_GB2312" w:hAnsi="楷体_GB2312" w:eastAsia="楷体_GB2312" w:cs="楷体_GB2312"/>
          <w:strike w:val="0"/>
          <w:dstrike w:val="0"/>
          <w:color w:val="auto"/>
          <w:kern w:val="0"/>
          <w:sz w:val="32"/>
          <w:szCs w:val="32"/>
          <w:highlight w:val="none"/>
          <w:lang w:val="en-US" w:eastAsia="zh-CN"/>
        </w:rPr>
        <w:t>（三）引导行业发展。</w:t>
      </w:r>
      <w:r>
        <w:rPr>
          <w:rFonts w:hint="eastAsia" w:ascii="仿宋_GB2312" w:hAnsi="仿宋_GB2312" w:eastAsia="仿宋_GB2312" w:cs="仿宋_GB2312"/>
          <w:strike w:val="0"/>
          <w:dstrike w:val="0"/>
          <w:color w:val="auto"/>
          <w:kern w:val="0"/>
          <w:sz w:val="32"/>
          <w:szCs w:val="32"/>
          <w:highlight w:val="none"/>
          <w:lang w:val="en-US" w:eastAsia="zh-CN"/>
        </w:rPr>
        <w:t>聚焦园林绿化行业前沿，明确</w:t>
      </w:r>
      <w:r>
        <w:rPr>
          <w:rFonts w:hint="default" w:ascii="仿宋_GB2312" w:hAnsi="仿宋_GB2312" w:eastAsia="仿宋_GB2312" w:cs="仿宋_GB2312"/>
          <w:strike w:val="0"/>
          <w:dstrike w:val="0"/>
          <w:color w:val="auto"/>
          <w:kern w:val="0"/>
          <w:sz w:val="32"/>
          <w:szCs w:val="32"/>
          <w:highlight w:val="none"/>
          <w:lang w:val="en-US" w:eastAsia="zh-CN"/>
        </w:rPr>
        <w:t>工作重点</w:t>
      </w:r>
      <w:r>
        <w:rPr>
          <w:rFonts w:hint="eastAsia" w:ascii="仿宋_GB2312" w:hAnsi="仿宋_GB2312" w:eastAsia="仿宋_GB2312" w:cs="仿宋_GB2312"/>
          <w:strike w:val="0"/>
          <w:dstrike w:val="0"/>
          <w:color w:val="auto"/>
          <w:kern w:val="0"/>
          <w:sz w:val="32"/>
          <w:szCs w:val="32"/>
          <w:highlight w:val="none"/>
          <w:lang w:val="en-US" w:eastAsia="zh-CN"/>
        </w:rPr>
        <w:t>和发展</w:t>
      </w:r>
      <w:r>
        <w:rPr>
          <w:rFonts w:hint="default" w:ascii="仿宋_GB2312" w:hAnsi="仿宋_GB2312" w:eastAsia="仿宋_GB2312" w:cs="仿宋_GB2312"/>
          <w:strike w:val="0"/>
          <w:dstrike w:val="0"/>
          <w:color w:val="auto"/>
          <w:kern w:val="0"/>
          <w:sz w:val="32"/>
          <w:szCs w:val="32"/>
          <w:highlight w:val="none"/>
          <w:lang w:val="en-US" w:eastAsia="zh-CN"/>
        </w:rPr>
        <w:t>方向</w:t>
      </w:r>
      <w:r>
        <w:rPr>
          <w:rFonts w:hint="eastAsia" w:ascii="仿宋_GB2312" w:hAnsi="仿宋_GB2312" w:eastAsia="仿宋_GB2312" w:cs="仿宋_GB2312"/>
          <w:strike w:val="0"/>
          <w:dstrike w:val="0"/>
          <w:color w:val="auto"/>
          <w:kern w:val="0"/>
          <w:sz w:val="32"/>
          <w:szCs w:val="32"/>
          <w:highlight w:val="none"/>
          <w:lang w:val="en-US" w:eastAsia="zh-CN"/>
        </w:rPr>
        <w:t>。如构建全市统一的城市绿化智慧管理系统，提升城市绿化管理的精细化、智慧化水平（第七条）；有序推进公园绿地和单位附属绿地开放共享，拓展绿色生活空间，更好地满足市民游客休闲健身、文化活动的需要（第十七条）；建立健全绿化废弃物收集、运输、处置和利用的全链条管理体系，促进绿化废弃物减量化、无害化、资源化（第六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lang w:val="en-US" w:eastAsia="zh-CN"/>
        </w:rPr>
      </w:pPr>
      <w:r>
        <w:rPr>
          <w:rFonts w:hint="eastAsia" w:ascii="楷体_GB2312" w:hAnsi="楷体_GB2312" w:eastAsia="楷体_GB2312" w:cs="楷体_GB2312"/>
          <w:strike w:val="0"/>
          <w:dstrike w:val="0"/>
          <w:color w:val="auto"/>
          <w:kern w:val="0"/>
          <w:sz w:val="32"/>
          <w:szCs w:val="32"/>
          <w:highlight w:val="none"/>
          <w:lang w:val="en-US" w:eastAsia="zh-CN"/>
        </w:rPr>
        <w:t>（四）突出重点环节。</w:t>
      </w:r>
      <w:r>
        <w:rPr>
          <w:rFonts w:hint="eastAsia" w:ascii="仿宋_GB2312" w:hAnsi="仿宋_GB2312" w:eastAsia="仿宋_GB2312" w:cs="仿宋_GB2312"/>
          <w:strike w:val="0"/>
          <w:dstrike w:val="0"/>
          <w:color w:val="auto"/>
          <w:kern w:val="0"/>
          <w:sz w:val="32"/>
          <w:szCs w:val="32"/>
          <w:highlight w:val="none"/>
          <w:lang w:val="en-US" w:eastAsia="zh-CN"/>
        </w:rPr>
        <w:t>对城市绿化的规划、设计、施工、移交、养护等重点环节做出具体规定。重点通过占补平衡原则，体现绿线管理刚性（第十一条）；通过设计方案控制，从源头上提升绿化质量（第十四条）；通过移交养护责任的确定与流程规定，解决建管衔接不畅问题（第十六条）。同时，设置紧急情况下绿化管理与处置的事后补办程序（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华文楷体" w:hAnsi="华文楷体" w:eastAsia="华文楷体" w:cs="华文楷体"/>
          <w:strike w:val="0"/>
          <w:dstrike w:val="0"/>
          <w:color w:val="auto"/>
          <w:kern w:val="0"/>
          <w:sz w:val="32"/>
          <w:szCs w:val="32"/>
          <w:highlight w:val="none"/>
          <w:lang w:val="en-US" w:eastAsia="zh-CN"/>
        </w:rPr>
      </w:pPr>
      <w:r>
        <w:rPr>
          <w:rFonts w:hint="eastAsia" w:ascii="楷体_GB2312" w:hAnsi="楷体_GB2312" w:eastAsia="楷体_GB2312" w:cs="楷体_GB2312"/>
          <w:strike w:val="0"/>
          <w:dstrike w:val="0"/>
          <w:color w:val="auto"/>
          <w:kern w:val="0"/>
          <w:sz w:val="32"/>
          <w:szCs w:val="32"/>
          <w:highlight w:val="none"/>
          <w:lang w:val="en-US" w:eastAsia="zh-CN"/>
        </w:rPr>
        <w:t>（五）体现绍兴特色。</w:t>
      </w:r>
      <w:r>
        <w:rPr>
          <w:rFonts w:hint="eastAsia" w:ascii="仿宋_GB2312" w:hAnsi="仿宋_GB2312" w:eastAsia="仿宋_GB2312" w:cs="仿宋_GB2312"/>
          <w:strike w:val="0"/>
          <w:dstrike w:val="0"/>
          <w:color w:val="auto"/>
          <w:kern w:val="0"/>
          <w:sz w:val="32"/>
          <w:szCs w:val="32"/>
          <w:highlight w:val="none"/>
          <w:lang w:val="en-US" w:eastAsia="zh-CN"/>
        </w:rPr>
        <w:t>优先选用乡土树种和适生植物，推广种植市树市花；绿地内的道路、广场优先采用透气、透水、环保材料铺装；绿化和景观用水优先利用河网水或者雨水、再生水等非常规水资源，体现江南水乡风貌（第十三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四、实施时间</w:t>
      </w:r>
    </w:p>
    <w:p>
      <w:pPr>
        <w:pStyle w:val="8"/>
        <w:rPr>
          <w:rFonts w:hint="default" w:ascii="仿宋_GB2312" w:hAnsi="仿宋_GB2312" w:eastAsia="仿宋_GB2312" w:cs="仿宋_GB2312"/>
          <w:strike w:val="0"/>
          <w:dstrike w:val="0"/>
          <w:color w:val="auto"/>
          <w:kern w:val="0"/>
          <w:sz w:val="32"/>
          <w:szCs w:val="32"/>
          <w:highlight w:val="none"/>
          <w:lang w:val="en-US" w:eastAsia="zh-CN" w:bidi="ar-SA"/>
        </w:rPr>
      </w:pPr>
      <w:r>
        <w:rPr>
          <w:rFonts w:hint="eastAsia" w:ascii="仿宋_GB2312" w:hAnsi="仿宋_GB2312" w:eastAsia="仿宋_GB2312" w:cs="仿宋_GB2312"/>
          <w:strike w:val="0"/>
          <w:dstrike w:val="0"/>
          <w:color w:val="auto"/>
          <w:kern w:val="0"/>
          <w:sz w:val="32"/>
          <w:szCs w:val="32"/>
          <w:highlight w:val="none"/>
          <w:lang w:val="en-US" w:eastAsia="zh-CN" w:bidi="ar-SA"/>
        </w:rPr>
        <w:t>本</w:t>
      </w:r>
      <w:r>
        <w:rPr>
          <w:rFonts w:hint="default" w:ascii="仿宋_GB2312" w:hAnsi="仿宋_GB2312" w:eastAsia="仿宋_GB2312" w:cs="仿宋_GB2312"/>
          <w:strike w:val="0"/>
          <w:dstrike w:val="0"/>
          <w:color w:val="auto"/>
          <w:kern w:val="0"/>
          <w:sz w:val="32"/>
          <w:szCs w:val="32"/>
          <w:highlight w:val="none"/>
          <w:lang w:eastAsia="zh-CN" w:bidi="ar-SA"/>
          <w:woUserID w:val="2"/>
        </w:rPr>
        <w:t>《</w:t>
      </w:r>
      <w:r>
        <w:rPr>
          <w:rFonts w:hint="eastAsia" w:ascii="仿宋_GB2312" w:hAnsi="仿宋_GB2312" w:eastAsia="仿宋_GB2312" w:cs="仿宋_GB2312"/>
          <w:strike w:val="0"/>
          <w:dstrike w:val="0"/>
          <w:color w:val="auto"/>
          <w:kern w:val="0"/>
          <w:sz w:val="32"/>
          <w:szCs w:val="32"/>
          <w:highlight w:val="none"/>
          <w:lang w:val="en-US" w:eastAsia="zh-CN" w:bidi="ar-SA"/>
        </w:rPr>
        <w:t>办法</w:t>
      </w:r>
      <w:r>
        <w:rPr>
          <w:rFonts w:hint="default" w:ascii="仿宋_GB2312" w:hAnsi="仿宋_GB2312" w:eastAsia="仿宋_GB2312" w:cs="仿宋_GB2312"/>
          <w:strike w:val="0"/>
          <w:dstrike w:val="0"/>
          <w:color w:val="auto"/>
          <w:kern w:val="0"/>
          <w:sz w:val="32"/>
          <w:szCs w:val="32"/>
          <w:highlight w:val="none"/>
          <w:lang w:eastAsia="zh-CN" w:bidi="ar-SA"/>
          <w:woUserID w:val="2"/>
        </w:rPr>
        <w:t>》</w:t>
      </w:r>
      <w:r>
        <w:rPr>
          <w:rFonts w:hint="eastAsia" w:ascii="仿宋_GB2312" w:hAnsi="仿宋_GB2312" w:eastAsia="仿宋_GB2312" w:cs="仿宋_GB2312"/>
          <w:strike w:val="0"/>
          <w:dstrike w:val="0"/>
          <w:color w:val="auto"/>
          <w:kern w:val="0"/>
          <w:sz w:val="32"/>
          <w:szCs w:val="32"/>
          <w:highlight w:val="none"/>
          <w:lang w:val="en-US" w:eastAsia="zh-CN" w:bidi="ar-SA"/>
        </w:rPr>
        <w:t>自2026年2月10日起施行。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五、解读机关、解读人及联系方式</w:t>
      </w:r>
    </w:p>
    <w:p>
      <w:pPr>
        <w:pStyle w:val="8"/>
        <w:rPr>
          <w:rFonts w:hint="eastAsia" w:ascii="仿宋_GB2312" w:hAnsi="仿宋_GB2312" w:eastAsia="仿宋_GB2312" w:cs="仿宋_GB2312"/>
          <w:strike w:val="0"/>
          <w:dstrike w:val="0"/>
          <w:color w:val="auto"/>
          <w:kern w:val="0"/>
          <w:sz w:val="32"/>
          <w:szCs w:val="32"/>
          <w:highlight w:val="none"/>
          <w:lang w:val="en-US" w:eastAsia="zh-CN" w:bidi="ar-SA"/>
        </w:rPr>
      </w:pPr>
      <w:r>
        <w:rPr>
          <w:rFonts w:hint="eastAsia" w:ascii="仿宋_GB2312" w:hAnsi="仿宋_GB2312" w:eastAsia="仿宋_GB2312" w:cs="仿宋_GB2312"/>
          <w:strike w:val="0"/>
          <w:dstrike w:val="0"/>
          <w:color w:val="auto"/>
          <w:kern w:val="0"/>
          <w:sz w:val="32"/>
          <w:szCs w:val="32"/>
          <w:highlight w:val="none"/>
          <w:lang w:val="en-US" w:eastAsia="zh-CN" w:bidi="ar-SA"/>
        </w:rPr>
        <w:t>解读机关：绍兴市综合行政执法局</w:t>
      </w:r>
    </w:p>
    <w:p>
      <w:pPr>
        <w:pStyle w:val="8"/>
        <w:rPr>
          <w:rFonts w:hint="eastAsia" w:ascii="仿宋_GB2312" w:hAnsi="仿宋_GB2312" w:eastAsia="仿宋_GB2312" w:cs="仿宋_GB2312"/>
          <w:strike w:val="0"/>
          <w:dstrike w:val="0"/>
          <w:color w:val="auto"/>
          <w:kern w:val="0"/>
          <w:sz w:val="32"/>
          <w:szCs w:val="32"/>
          <w:highlight w:val="none"/>
          <w:lang w:val="en-US" w:eastAsia="zh-CN" w:bidi="ar-SA"/>
        </w:rPr>
      </w:pPr>
      <w:r>
        <w:rPr>
          <w:rFonts w:hint="eastAsia" w:ascii="仿宋_GB2312" w:hAnsi="仿宋_GB2312" w:eastAsia="仿宋_GB2312" w:cs="仿宋_GB2312"/>
          <w:strike w:val="0"/>
          <w:dstrike w:val="0"/>
          <w:color w:val="auto"/>
          <w:kern w:val="0"/>
          <w:sz w:val="32"/>
          <w:szCs w:val="32"/>
          <w:highlight w:val="none"/>
          <w:lang w:val="en-US" w:eastAsia="zh-CN" w:bidi="ar-SA"/>
        </w:rPr>
        <w:t>解读人：</w:t>
      </w:r>
      <w:r>
        <w:rPr>
          <w:rFonts w:hint="default" w:ascii="仿宋_GB2312" w:hAnsi="仿宋_GB2312" w:eastAsia="仿宋_GB2312" w:cs="仿宋_GB2312"/>
          <w:strike w:val="0"/>
          <w:dstrike w:val="0"/>
          <w:color w:val="auto"/>
          <w:kern w:val="0"/>
          <w:sz w:val="32"/>
          <w:szCs w:val="32"/>
          <w:highlight w:val="none"/>
          <w:lang w:eastAsia="zh-CN" w:bidi="ar-SA"/>
          <w:woUserID w:val="2"/>
        </w:rPr>
        <w:t>陈百中、</w:t>
      </w:r>
      <w:bookmarkStart w:id="0" w:name="_GoBack"/>
      <w:bookmarkEnd w:id="0"/>
      <w:r>
        <w:rPr>
          <w:rFonts w:hint="eastAsia" w:ascii="仿宋_GB2312" w:hAnsi="仿宋_GB2312" w:eastAsia="仿宋_GB2312" w:cs="仿宋_GB2312"/>
          <w:strike w:val="0"/>
          <w:dstrike w:val="0"/>
          <w:color w:val="auto"/>
          <w:kern w:val="0"/>
          <w:sz w:val="32"/>
          <w:szCs w:val="32"/>
          <w:highlight w:val="none"/>
          <w:lang w:val="en-US" w:eastAsia="zh-CN" w:bidi="ar-SA"/>
        </w:rPr>
        <w:t>劳连木</w:t>
      </w:r>
    </w:p>
    <w:p>
      <w:pPr>
        <w:pStyle w:val="8"/>
        <w:rPr>
          <w:rFonts w:hint="default" w:ascii="仿宋_GB2312" w:hAnsi="仿宋_GB2312" w:eastAsia="仿宋_GB2312" w:cs="仿宋_GB2312"/>
          <w:strike w:val="0"/>
          <w:dstrike w:val="0"/>
          <w:color w:val="auto"/>
          <w:kern w:val="0"/>
          <w:sz w:val="32"/>
          <w:szCs w:val="32"/>
          <w:highlight w:val="none"/>
          <w:lang w:val="en-US" w:eastAsia="zh-CN" w:bidi="ar-SA"/>
        </w:rPr>
      </w:pPr>
      <w:r>
        <w:rPr>
          <w:rFonts w:hint="eastAsia" w:ascii="仿宋_GB2312" w:hAnsi="仿宋_GB2312" w:eastAsia="仿宋_GB2312" w:cs="仿宋_GB2312"/>
          <w:strike w:val="0"/>
          <w:dstrike w:val="0"/>
          <w:color w:val="auto"/>
          <w:kern w:val="0"/>
          <w:sz w:val="32"/>
          <w:szCs w:val="32"/>
          <w:highlight w:val="none"/>
          <w:lang w:val="en-US" w:eastAsia="zh-CN" w:bidi="ar-SA"/>
        </w:rPr>
        <w:t>联系方式：0575-85221100</w:t>
      </w:r>
    </w:p>
    <w:p>
      <w:pPr>
        <w:rPr>
          <w:rFonts w:hint="default" w:ascii="仿宋_GB2312" w:hAnsi="仿宋_GB2312" w:eastAsia="仿宋_GB2312" w:cs="仿宋_GB2312"/>
          <w:strike w:val="0"/>
          <w:dstrike w:val="0"/>
          <w:kern w:val="0"/>
          <w:sz w:val="32"/>
          <w:szCs w:val="32"/>
          <w:highlight w:val="none"/>
          <w:lang w:val="en-US" w:eastAsia="zh-CN"/>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2000000000000000000"/>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楷体_GB2312">
    <w:altName w:val="汉仪楷体KW"/>
    <w:panose1 w:val="02010609030101010101"/>
    <w:charset w:val="86"/>
    <w:family w:val="modern"/>
    <w:pitch w:val="default"/>
    <w:sig w:usb0="00000000" w:usb1="00000000" w:usb2="00000000" w:usb3="00000000" w:csb0="00040000" w:csb1="00000000"/>
  </w:font>
  <w:font w:name="华文楷体">
    <w:altName w:val="汉仪楷体KW"/>
    <w:panose1 w:val="02010600040101010101"/>
    <w:charset w:val="86"/>
    <w:family w:val="auto"/>
    <w:pitch w:val="default"/>
    <w:sig w:usb0="00000000" w:usb1="00000000" w:usb2="00000000" w:usb3="00000000" w:csb0="0004009F" w:csb1="DFD7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C03B4"/>
    <w:multiLevelType w:val="singleLevel"/>
    <w:tmpl w:val="BF5C03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NzQ4NzA4MTBlZjY5ZmYzYzZiMWQwNmJlZWQ1NzkifQ=="/>
  </w:docVars>
  <w:rsids>
    <w:rsidRoot w:val="00000000"/>
    <w:rsid w:val="07D30351"/>
    <w:rsid w:val="103D5866"/>
    <w:rsid w:val="13C95DDF"/>
    <w:rsid w:val="18D25736"/>
    <w:rsid w:val="1AD67034"/>
    <w:rsid w:val="1BAF51FC"/>
    <w:rsid w:val="1C365FDC"/>
    <w:rsid w:val="1C4E26E8"/>
    <w:rsid w:val="1D3D339A"/>
    <w:rsid w:val="25930EDA"/>
    <w:rsid w:val="2BEE3783"/>
    <w:rsid w:val="2DFFC7EB"/>
    <w:rsid w:val="2EFF3C6B"/>
    <w:rsid w:val="36BDD74C"/>
    <w:rsid w:val="3A3319C1"/>
    <w:rsid w:val="3DEFE80E"/>
    <w:rsid w:val="3F77CA91"/>
    <w:rsid w:val="3F9F3744"/>
    <w:rsid w:val="3FDD6F27"/>
    <w:rsid w:val="458B1ED5"/>
    <w:rsid w:val="4DB841F3"/>
    <w:rsid w:val="558B0B7F"/>
    <w:rsid w:val="55EED654"/>
    <w:rsid w:val="5BFD8587"/>
    <w:rsid w:val="5BFE44F6"/>
    <w:rsid w:val="5DDF7F75"/>
    <w:rsid w:val="5FFF2E52"/>
    <w:rsid w:val="6AB7F0B9"/>
    <w:rsid w:val="6FF617FF"/>
    <w:rsid w:val="73D35365"/>
    <w:rsid w:val="73E2F242"/>
    <w:rsid w:val="75422471"/>
    <w:rsid w:val="757F7D81"/>
    <w:rsid w:val="76FF80B1"/>
    <w:rsid w:val="7A9B6A7C"/>
    <w:rsid w:val="7BFA8421"/>
    <w:rsid w:val="7F7A472D"/>
    <w:rsid w:val="7FB52B11"/>
    <w:rsid w:val="7FFD6601"/>
    <w:rsid w:val="827B3B59"/>
    <w:rsid w:val="89F3447B"/>
    <w:rsid w:val="9F77FD84"/>
    <w:rsid w:val="C5BF1F5C"/>
    <w:rsid w:val="CFA96B39"/>
    <w:rsid w:val="CFDEE27E"/>
    <w:rsid w:val="CFEF3BB5"/>
    <w:rsid w:val="DB3F55E0"/>
    <w:rsid w:val="DCF7DFE6"/>
    <w:rsid w:val="DED01662"/>
    <w:rsid w:val="DFF7FAA5"/>
    <w:rsid w:val="E6F9761C"/>
    <w:rsid w:val="EEDFA943"/>
    <w:rsid w:val="EFEFBEED"/>
    <w:rsid w:val="EFFE980B"/>
    <w:rsid w:val="F16F481C"/>
    <w:rsid w:val="F6D2C32E"/>
    <w:rsid w:val="F7E5BFC4"/>
    <w:rsid w:val="F89D2657"/>
    <w:rsid w:val="FB83C898"/>
    <w:rsid w:val="FBD9FD8C"/>
    <w:rsid w:val="FBF75F9A"/>
    <w:rsid w:val="FEDB70D6"/>
    <w:rsid w:val="FEFD590C"/>
    <w:rsid w:val="FF8F7167"/>
    <w:rsid w:val="FF939960"/>
    <w:rsid w:val="FF9F90BF"/>
    <w:rsid w:val="FFEEF8E3"/>
    <w:rsid w:val="FFEFEE22"/>
    <w:rsid w:val="FFF9DD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NormalIndent"/>
    <w:qFormat/>
    <w:uiPriority w:val="0"/>
    <w:pPr>
      <w:widowControl w:val="0"/>
      <w:ind w:firstLine="420" w:firstLineChars="200"/>
      <w:jc w:val="both"/>
      <w:textAlignment w:val="baseline"/>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3120</Words>
  <Characters>3149</Characters>
  <Lines>1</Lines>
  <Paragraphs>1</Paragraphs>
  <TotalTime>0</TotalTime>
  <ScaleCrop>false</ScaleCrop>
  <LinksUpToDate>false</LinksUpToDate>
  <CharactersWithSpaces>3149</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2025-06-17T13:41:00Z</dcterms:created>
  <dc:creator>DELL</dc:creator>
  <cp:lastModifiedBy>sxszf</cp:lastModifiedBy>
  <cp:lastPrinted>2025-12-10T01:52:00Z</cp:lastPrinted>
  <dcterms:modified xsi:type="dcterms:W3CDTF">2026-01-20T16:34:20Z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eyJoZGlkIjoiNTUzN2I5ZjBhNGViYzVlODJiM2JkZTZkYTIzYjgwMzIiLCJ1c2VySWQiOiIyMjU2NjMzOTEifQ==</vt:lpwstr>
  </property>
  <property fmtid="{D5CDD505-2E9C-101B-9397-08002B2CF9AE}" pid="4" name="ICV">
    <vt:lpwstr>94FCE2EA257D4D3E5EDF69698E0BD659_43</vt:lpwstr>
  </property>
</Properties>
</file>