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8825" w:type="dxa"/>
        <w:jc w:val="center"/>
        <w:tblBorders>
          <w:top w:val="none" w:color="auto" w:sz="0" w:space="0"/>
          <w:left w:val="none" w:color="auto" w:sz="0" w:space="0"/>
          <w:bottom w:val="single" w:color="auto"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41"/>
        <w:gridCol w:w="1784"/>
      </w:tblGrid>
      <w:tr>
        <w:tblPrEx>
          <w:tblBorders>
            <w:top w:val="none" w:color="auto" w:sz="0" w:space="0"/>
            <w:left w:val="none" w:color="auto" w:sz="0" w:space="0"/>
            <w:bottom w:val="single" w:color="auto"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0" w:hRule="atLeast"/>
          <w:jc w:val="center"/>
        </w:trPr>
        <w:tc>
          <w:tcPr>
            <w:tcW w:w="7041" w:type="dxa"/>
            <w:tcBorders>
              <w:right w:val="nil"/>
            </w:tcBorders>
            <w:vAlign w:val="center"/>
          </w:tcPr>
          <w:p>
            <w:pPr>
              <w:spacing w:line="1060" w:lineRule="exact"/>
              <w:jc w:val="center"/>
              <w:rPr>
                <w:color w:val="FF0000"/>
                <w:sz w:val="80"/>
                <w:szCs w:val="80"/>
              </w:rPr>
            </w:pPr>
            <w:r>
              <w:rPr>
                <w:rFonts w:hint="eastAsia" w:ascii="方正小标宋简体" w:eastAsia="方正小标宋简体"/>
                <w:color w:val="FF0000"/>
                <w:spacing w:val="-4"/>
                <w:w w:val="92"/>
                <w:sz w:val="72"/>
                <w:szCs w:val="72"/>
              </w:rPr>
              <w:t>桐乡市经济和信息化</w:t>
            </w:r>
            <w:r>
              <w:rPr>
                <w:rFonts w:hint="eastAsia" w:ascii="方正小标宋简体" w:eastAsia="方正小标宋简体"/>
                <w:color w:val="FF0000"/>
                <w:spacing w:val="-24"/>
                <w:w w:val="92"/>
                <w:sz w:val="72"/>
                <w:szCs w:val="72"/>
              </w:rPr>
              <w:t>局</w:t>
            </w:r>
          </w:p>
          <w:p>
            <w:pPr>
              <w:spacing w:line="1060" w:lineRule="exact"/>
              <w:jc w:val="center"/>
              <w:rPr>
                <w:color w:val="FF0000"/>
                <w:spacing w:val="200"/>
                <w:w w:val="92"/>
                <w:sz w:val="80"/>
                <w:szCs w:val="80"/>
              </w:rPr>
            </w:pPr>
            <w:r>
              <w:rPr>
                <w:rFonts w:hint="eastAsia" w:ascii="方正小标宋简体" w:eastAsia="方正小标宋简体"/>
                <w:color w:val="FF0000"/>
                <w:spacing w:val="254"/>
                <w:w w:val="92"/>
                <w:sz w:val="72"/>
                <w:szCs w:val="72"/>
              </w:rPr>
              <w:t>桐乡市财政</w:t>
            </w:r>
            <w:r>
              <w:rPr>
                <w:rFonts w:hint="eastAsia" w:ascii="方正小标宋简体" w:eastAsia="方正小标宋简体"/>
                <w:color w:val="FF0000"/>
                <w:w w:val="92"/>
                <w:sz w:val="72"/>
                <w:szCs w:val="72"/>
              </w:rPr>
              <w:t>局</w:t>
            </w:r>
          </w:p>
        </w:tc>
        <w:tc>
          <w:tcPr>
            <w:tcW w:w="1784" w:type="dxa"/>
            <w:tcBorders>
              <w:left w:val="nil"/>
            </w:tcBorders>
            <w:vAlign w:val="center"/>
          </w:tcPr>
          <w:p>
            <w:pPr>
              <w:spacing w:line="1060" w:lineRule="exact"/>
              <w:jc w:val="center"/>
              <w:rPr>
                <w:color w:val="FF0000"/>
                <w:sz w:val="80"/>
                <w:szCs w:val="80"/>
              </w:rPr>
            </w:pPr>
            <w:r>
              <w:rPr>
                <w:rFonts w:hint="eastAsia" w:ascii="方正小标宋简体" w:eastAsia="方正小标宋简体"/>
                <w:color w:val="FF0000"/>
                <w:spacing w:val="-24"/>
                <w:w w:val="92"/>
                <w:sz w:val="84"/>
                <w:szCs w:val="84"/>
              </w:rPr>
              <w:t>文</w:t>
            </w:r>
            <w:r>
              <w:rPr>
                <w:rFonts w:hint="eastAsia" w:ascii="方正小标宋简体" w:eastAsia="方正小标宋简体"/>
                <w:color w:val="FF0000"/>
                <w:spacing w:val="-30"/>
                <w:w w:val="92"/>
                <w:sz w:val="84"/>
                <w:szCs w:val="84"/>
              </w:rPr>
              <w:t>件</w:t>
            </w:r>
          </w:p>
        </w:tc>
      </w:tr>
      <w:tr>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1" w:hRule="exact"/>
          <w:jc w:val="center"/>
        </w:trPr>
        <w:tc>
          <w:tcPr>
            <w:tcW w:w="8825" w:type="dxa"/>
            <w:gridSpan w:val="2"/>
          </w:tcPr>
          <w:p>
            <w:pPr>
              <w:spacing w:line="580" w:lineRule="exact"/>
              <w:jc w:val="center"/>
            </w:pPr>
          </w:p>
          <w:p>
            <w:pPr>
              <w:spacing w:line="580" w:lineRule="exact"/>
              <w:jc w:val="center"/>
            </w:pPr>
          </w:p>
          <w:p>
            <w:pPr>
              <w:spacing w:line="560" w:lineRule="exact"/>
              <w:jc w:val="center"/>
              <w:rPr>
                <w:rFonts w:ascii="仿宋_GB2312" w:eastAsia="仿宋_GB2312"/>
                <w:sz w:val="40"/>
                <w:szCs w:val="40"/>
              </w:rPr>
            </w:pPr>
            <w:r>
              <w:rPr>
                <w:rFonts w:hint="eastAsia" w:ascii="仿宋_GB2312" w:eastAsia="仿宋_GB2312"/>
                <w:sz w:val="32"/>
              </w:rPr>
              <w:t>桐经信</w:t>
            </w:r>
            <w:r>
              <w:rPr>
                <w:rFonts w:hint="eastAsia" w:ascii="仿宋_GB2312" w:eastAsia="仿宋_GB2312"/>
                <w:color w:val="auto"/>
                <w:sz w:val="32"/>
              </w:rPr>
              <w:t>〔202</w:t>
            </w:r>
            <w:r>
              <w:rPr>
                <w:rFonts w:hint="eastAsia" w:ascii="仿宋_GB2312" w:eastAsia="仿宋_GB2312"/>
                <w:color w:val="auto"/>
                <w:sz w:val="32"/>
                <w:lang w:val="en-US" w:eastAsia="zh-CN"/>
              </w:rPr>
              <w:t>6</w:t>
            </w:r>
            <w:r>
              <w:rPr>
                <w:rFonts w:hint="eastAsia" w:ascii="仿宋_GB2312" w:eastAsia="仿宋_GB2312"/>
                <w:color w:val="auto"/>
                <w:sz w:val="32"/>
              </w:rPr>
              <w:t>〕</w:t>
            </w:r>
            <w:r>
              <w:rPr>
                <w:rFonts w:hint="eastAsia" w:ascii="仿宋_GB2312" w:eastAsia="仿宋_GB2312"/>
                <w:color w:val="auto"/>
                <w:sz w:val="32"/>
                <w:highlight w:val="none"/>
                <w:lang w:val="en-US" w:eastAsia="zh-CN"/>
              </w:rPr>
              <w:t>82</w:t>
            </w:r>
            <w:r>
              <w:rPr>
                <w:rFonts w:hint="eastAsia" w:ascii="仿宋_GB2312" w:eastAsia="仿宋_GB2312"/>
                <w:sz w:val="32"/>
              </w:rPr>
              <w:t>号</w:t>
            </w:r>
          </w:p>
          <w:p>
            <w:pPr>
              <w:spacing w:line="580" w:lineRule="exact"/>
              <w:jc w:val="center"/>
              <w:rPr>
                <w:rFonts w:hAnsi="Courier New"/>
              </w:rPr>
            </w:pPr>
          </w:p>
          <w:p>
            <w:pPr>
              <w:rPr>
                <w:color w:val="FF0000"/>
              </w:rPr>
            </w:pPr>
          </w:p>
        </w:tc>
      </w:tr>
    </w:tbl>
    <w:p>
      <w:pPr>
        <w:spacing w:line="580" w:lineRule="exact"/>
        <w:rPr>
          <w:rFonts w:ascii="仿宋_GB2312" w:eastAsia="仿宋_GB2312"/>
          <w:sz w:val="32"/>
        </w:rPr>
      </w:pPr>
    </w:p>
    <w:p>
      <w:pPr>
        <w:spacing w:line="580" w:lineRule="exact"/>
        <w:rPr>
          <w:rFonts w:ascii="仿宋_GB2312" w:eastAsia="仿宋_GB2312"/>
          <w:sz w:val="32"/>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桐乡市经济和信息化局   桐乡市财政局</w:t>
      </w:r>
    </w:p>
    <w:p>
      <w:pPr>
        <w:spacing w:line="560" w:lineRule="exact"/>
        <w:jc w:val="center"/>
        <w:rPr>
          <w:rFonts w:ascii="方正小标宋简体" w:hAnsi="Times New Roman" w:eastAsia="方正小标宋简体" w:cs="Times New Roman"/>
          <w:sz w:val="44"/>
          <w:szCs w:val="44"/>
        </w:rPr>
      </w:pPr>
      <w:r>
        <w:rPr>
          <w:rFonts w:hint="eastAsia" w:ascii="方正小标宋简体" w:eastAsia="方正小标宋简体"/>
          <w:sz w:val="44"/>
          <w:szCs w:val="44"/>
        </w:rPr>
        <w:t>关于下达202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年度桐乡市企</w:t>
      </w:r>
      <w:r>
        <w:rPr>
          <w:rFonts w:hint="eastAsia" w:ascii="方正小标宋简体" w:hAnsi="Times New Roman" w:eastAsia="方正小标宋简体" w:cs="Times New Roman"/>
          <w:sz w:val="44"/>
          <w:szCs w:val="44"/>
        </w:rPr>
        <w:t>业升级提档创强奖励的通知</w:t>
      </w:r>
    </w:p>
    <w:p>
      <w:pPr>
        <w:spacing w:line="580" w:lineRule="exact"/>
        <w:jc w:val="center"/>
        <w:rPr>
          <w:rFonts w:ascii="方正小标宋简体" w:hAnsi="宋体" w:eastAsia="方正小标宋简体" w:cs="宋体"/>
          <w:kern w:val="0"/>
          <w:sz w:val="44"/>
          <w:szCs w:val="44"/>
        </w:rPr>
      </w:pPr>
    </w:p>
    <w:p>
      <w:pPr>
        <w:widowControl/>
        <w:spacing w:line="560" w:lineRule="exact"/>
        <w:jc w:val="left"/>
        <w:rPr>
          <w:rFonts w:ascii="仿宋_GB2312" w:eastAsia="仿宋_GB2312"/>
          <w:color w:val="000000"/>
          <w:sz w:val="32"/>
          <w:szCs w:val="32"/>
        </w:rPr>
      </w:pPr>
      <w:r>
        <w:rPr>
          <w:rFonts w:hint="eastAsia" w:ascii="仿宋_GB2312" w:eastAsia="仿宋_GB2312"/>
          <w:color w:val="000000"/>
          <w:sz w:val="32"/>
          <w:szCs w:val="32"/>
        </w:rPr>
        <w:t>各镇人民政府、街道办事处经发办、开发区（高桥街道）经发办：</w:t>
      </w:r>
    </w:p>
    <w:p>
      <w:pPr>
        <w:pStyle w:val="16"/>
        <w:spacing w:line="580" w:lineRule="exact"/>
        <w:ind w:firstLine="640" w:firstLineChars="200"/>
        <w:rPr>
          <w:rFonts w:ascii="仿宋_GB2312" w:eastAsia="仿宋_GB2312"/>
          <w:sz w:val="32"/>
          <w:szCs w:val="32"/>
        </w:rPr>
      </w:pPr>
      <w:r>
        <w:rPr>
          <w:rFonts w:hint="eastAsia" w:ascii="仿宋_GB2312" w:eastAsia="仿宋_GB2312"/>
          <w:kern w:val="2"/>
          <w:sz w:val="32"/>
          <w:szCs w:val="32"/>
        </w:rPr>
        <w:t>根据《关于印发桐乡市加快推进制造业高质量发展若干政策意见的通知》（桐政办发〔2023〕32号）和《关于印发桐乡市加快推进制造业高质量发展若干政策意见配套实施细则的通知》（桐经信〔2023〕152号）文件精神，经市经信局、财政局审核，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年度工业企业升级奖、提档奖、创强奖名单已确定，共计奖励资金金额</w:t>
      </w:r>
      <w:r>
        <w:rPr>
          <w:rFonts w:hint="eastAsia" w:ascii="仿宋_GB2312" w:eastAsia="仿宋_GB2312"/>
          <w:kern w:val="2"/>
          <w:sz w:val="32"/>
          <w:szCs w:val="32"/>
        </w:rPr>
        <w:t>为</w:t>
      </w:r>
      <w:r>
        <w:rPr>
          <w:rFonts w:hint="eastAsia" w:ascii="仿宋_GB2312" w:eastAsia="仿宋_GB2312"/>
          <w:color w:val="auto"/>
          <w:kern w:val="2"/>
          <w:sz w:val="32"/>
          <w:szCs w:val="32"/>
          <w:lang w:val="en-US" w:eastAsia="zh-CN"/>
        </w:rPr>
        <w:t>989.26</w:t>
      </w:r>
      <w:r>
        <w:rPr>
          <w:rFonts w:hint="eastAsia" w:ascii="仿宋_GB2312" w:eastAsia="仿宋_GB2312"/>
          <w:sz w:val="32"/>
          <w:szCs w:val="32"/>
        </w:rPr>
        <w:t>万元，现予以下达。请及时通知所辖企业向经信局办理奖励资金的申领手续。</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希望各获奖企业再接再厉，进一步争优做强，为推动我市工业经济发展做出新的贡献。</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联系人：经信局李峋邑，联系电话：89396729，631429。</w:t>
      </w:r>
    </w:p>
    <w:p>
      <w:pPr>
        <w:pStyle w:val="2"/>
        <w:rPr>
          <w:rFonts w:hint="eastAsia"/>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附件：1.202</w:t>
      </w:r>
      <w:r>
        <w:rPr>
          <w:rFonts w:hint="eastAsia" w:ascii="仿宋_GB2312" w:eastAsia="仿宋_GB2312"/>
          <w:sz w:val="32"/>
          <w:szCs w:val="32"/>
          <w:lang w:val="en-US" w:eastAsia="zh-CN"/>
        </w:rPr>
        <w:t>5</w:t>
      </w:r>
      <w:r>
        <w:rPr>
          <w:rFonts w:hint="eastAsia" w:ascii="仿宋_GB2312" w:eastAsia="仿宋_GB2312"/>
          <w:sz w:val="32"/>
          <w:szCs w:val="32"/>
        </w:rPr>
        <w:t>年度工业企业升级奖名单</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2.202</w:t>
      </w:r>
      <w:r>
        <w:rPr>
          <w:rFonts w:hint="eastAsia" w:ascii="仿宋_GB2312" w:eastAsia="仿宋_GB2312"/>
          <w:sz w:val="32"/>
          <w:szCs w:val="32"/>
          <w:lang w:val="en-US" w:eastAsia="zh-CN"/>
        </w:rPr>
        <w:t>5</w:t>
      </w:r>
      <w:r>
        <w:rPr>
          <w:rFonts w:hint="eastAsia" w:ascii="仿宋_GB2312" w:eastAsia="仿宋_GB2312"/>
          <w:sz w:val="32"/>
          <w:szCs w:val="32"/>
        </w:rPr>
        <w:t>年度工业企业提档奖名单</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3.202</w:t>
      </w:r>
      <w:r>
        <w:rPr>
          <w:rFonts w:hint="eastAsia" w:ascii="仿宋_GB2312" w:eastAsia="仿宋_GB2312"/>
          <w:sz w:val="32"/>
          <w:szCs w:val="32"/>
          <w:lang w:val="en-US" w:eastAsia="zh-CN"/>
        </w:rPr>
        <w:t>5</w:t>
      </w:r>
      <w:r>
        <w:rPr>
          <w:rFonts w:hint="eastAsia" w:ascii="仿宋_GB2312" w:eastAsia="仿宋_GB2312"/>
          <w:sz w:val="32"/>
          <w:szCs w:val="32"/>
        </w:rPr>
        <w:t>年度工业企业创强奖名单</w:t>
      </w:r>
    </w:p>
    <w:p>
      <w:pPr>
        <w:pStyle w:val="14"/>
        <w:rPr>
          <w:rFonts w:ascii="仿宋_GB2312" w:hAnsi="宋体" w:eastAsia="仿宋_GB2312" w:cs="仿宋_GB2312"/>
          <w:sz w:val="32"/>
          <w:szCs w:val="32"/>
          <w:lang w:eastAsia="zh-CN"/>
        </w:rPr>
      </w:pPr>
    </w:p>
    <w:p>
      <w:pPr>
        <w:pStyle w:val="14"/>
        <w:rPr>
          <w:rFonts w:ascii="仿宋_GB2312" w:hAnsi="宋体" w:eastAsia="仿宋_GB2312" w:cs="仿宋_GB2312"/>
          <w:sz w:val="32"/>
          <w:szCs w:val="32"/>
          <w:lang w:eastAsia="zh-CN"/>
        </w:rPr>
      </w:pPr>
    </w:p>
    <w:p>
      <w:pPr>
        <w:spacing w:line="560" w:lineRule="exact"/>
        <w:ind w:firstLine="640" w:firstLineChars="200"/>
        <w:rPr>
          <w:rFonts w:ascii="仿宋_GB2312" w:eastAsia="仿宋_GB2312"/>
          <w:color w:val="auto"/>
          <w:sz w:val="32"/>
          <w:szCs w:val="32"/>
        </w:rPr>
      </w:pPr>
      <w:r>
        <w:rPr>
          <w:rFonts w:hint="eastAsia" w:ascii="仿宋_GB2312" w:eastAsia="仿宋_GB2312"/>
          <w:sz w:val="32"/>
          <w:szCs w:val="32"/>
        </w:rPr>
        <w:t xml:space="preserve">桐乡市经济和信息化局        </w:t>
      </w:r>
      <w:r>
        <w:rPr>
          <w:rFonts w:hint="eastAsia" w:ascii="仿宋_GB2312" w:eastAsia="仿宋_GB2312"/>
          <w:color w:val="auto"/>
          <w:sz w:val="32"/>
          <w:szCs w:val="32"/>
        </w:rPr>
        <w:t xml:space="preserve">    桐乡市财政局      </w:t>
      </w:r>
    </w:p>
    <w:p>
      <w:pPr>
        <w:spacing w:line="560" w:lineRule="exact"/>
        <w:ind w:firstLine="640" w:firstLineChars="200"/>
        <w:jc w:val="center"/>
        <w:rPr>
          <w:rFonts w:ascii="仿宋_GB2312" w:eastAsia="仿宋_GB2312"/>
          <w:color w:val="auto"/>
          <w:sz w:val="32"/>
          <w:szCs w:val="32"/>
        </w:rPr>
      </w:pPr>
      <w:r>
        <w:rPr>
          <w:rFonts w:hint="eastAsia"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 xml:space="preserve"> 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default" w:ascii="仿宋_GB2312" w:eastAsia="仿宋_GB2312"/>
          <w:color w:val="auto"/>
          <w:sz w:val="32"/>
          <w:szCs w:val="32"/>
          <w:lang w:val="en-US" w:eastAsia="zh-CN"/>
        </w:rPr>
        <w:t>14</w:t>
      </w:r>
      <w:bookmarkStart w:id="0" w:name="_GoBack"/>
      <w:bookmarkEnd w:id="0"/>
      <w:r>
        <w:rPr>
          <w:rFonts w:hint="eastAsia" w:ascii="仿宋_GB2312" w:eastAsia="仿宋_GB2312"/>
          <w:color w:val="auto"/>
          <w:sz w:val="32"/>
          <w:szCs w:val="32"/>
        </w:rPr>
        <w:t>日</w:t>
      </w:r>
    </w:p>
    <w:p>
      <w:pPr>
        <w:spacing w:line="560" w:lineRule="exact"/>
        <w:ind w:firstLine="640" w:firstLineChars="200"/>
        <w:jc w:val="center"/>
        <w:rPr>
          <w:rFonts w:ascii="仿宋_GB2312" w:eastAsia="仿宋_GB2312"/>
          <w:sz w:val="32"/>
          <w:szCs w:val="32"/>
        </w:rPr>
      </w:pPr>
    </w:p>
    <w:p>
      <w:pPr>
        <w:adjustRightInd w:val="0"/>
        <w:snapToGrid w:val="0"/>
        <w:spacing w:line="580" w:lineRule="exact"/>
        <w:rPr>
          <w:rFonts w:ascii="仿宋_GB2312" w:hAnsi="宋体" w:eastAsia="仿宋_GB2312" w:cs="仿宋_GB2312"/>
          <w:sz w:val="32"/>
          <w:szCs w:val="32"/>
        </w:rPr>
      </w:pPr>
    </w:p>
    <w:p>
      <w:pPr>
        <w:adjustRightInd w:val="0"/>
        <w:snapToGrid w:val="0"/>
        <w:spacing w:line="580" w:lineRule="exact"/>
        <w:rPr>
          <w:rFonts w:ascii="仿宋_GB2312" w:hAnsi="宋体" w:eastAsia="仿宋_GB2312" w:cs="仿宋_GB2312"/>
          <w:sz w:val="32"/>
          <w:szCs w:val="32"/>
        </w:rPr>
      </w:pPr>
    </w:p>
    <w:p>
      <w:pPr>
        <w:spacing w:line="580" w:lineRule="exact"/>
        <w:rPr>
          <w:rFonts w:ascii="黑体" w:eastAsia="黑体"/>
          <w:sz w:val="32"/>
          <w:szCs w:val="32"/>
        </w:rPr>
      </w:pPr>
    </w:p>
    <w:p>
      <w:pPr>
        <w:spacing w:line="580" w:lineRule="exact"/>
        <w:rPr>
          <w:rFonts w:ascii="黑体" w:eastAsia="黑体"/>
          <w:sz w:val="32"/>
          <w:szCs w:val="32"/>
        </w:rPr>
        <w:sectPr>
          <w:footerReference r:id="rId3" w:type="default"/>
          <w:footerReference r:id="rId4" w:type="even"/>
          <w:pgSz w:w="11906" w:h="16838"/>
          <w:pgMar w:top="2098" w:right="1474" w:bottom="1985" w:left="1588" w:header="851" w:footer="1361" w:gutter="0"/>
          <w:pgNumType w:fmt="numberInDash"/>
          <w:cols w:space="720" w:num="1"/>
          <w:docGrid w:type="lines" w:linePitch="312" w:charSpace="0"/>
        </w:sectPr>
      </w:pPr>
    </w:p>
    <w:p>
      <w:pPr>
        <w:spacing w:line="580" w:lineRule="exact"/>
        <w:rPr>
          <w:rFonts w:ascii="黑体" w:hAnsi="宋体" w:eastAsia="黑体" w:cs="仿宋_GB2312"/>
          <w:sz w:val="32"/>
          <w:szCs w:val="32"/>
        </w:rPr>
      </w:pPr>
      <w:r>
        <w:rPr>
          <w:rFonts w:hint="eastAsia" w:ascii="黑体" w:hAnsi="宋体" w:eastAsia="黑体" w:cs="仿宋_GB2312"/>
          <w:sz w:val="32"/>
          <w:szCs w:val="32"/>
        </w:rPr>
        <w:t>附件1</w:t>
      </w:r>
    </w:p>
    <w:p>
      <w:pPr>
        <w:spacing w:line="400" w:lineRule="exact"/>
        <w:jc w:val="center"/>
        <w:rPr>
          <w:rFonts w:ascii="方正小标宋简体" w:hAnsi="方正小标宋简体" w:eastAsia="方正小标宋简体" w:cs="方正小标宋简体"/>
          <w:sz w:val="36"/>
          <w:szCs w:val="36"/>
        </w:rPr>
      </w:pPr>
      <w:r>
        <w:rPr>
          <w:rFonts w:hint="eastAsia" w:ascii="黑体" w:hAnsi="宋体" w:eastAsia="黑体" w:cs="仿宋_GB2312"/>
          <w:sz w:val="44"/>
          <w:szCs w:val="44"/>
        </w:rPr>
        <w:t xml:space="preserve"> </w:t>
      </w: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年度工业企业升级奖名单</w:t>
      </w:r>
    </w:p>
    <w:p>
      <w:pPr>
        <w:spacing w:line="400" w:lineRule="exact"/>
        <w:jc w:val="right"/>
        <w:rPr>
          <w:rFonts w:ascii="宋体" w:hAnsi="宋体" w:cs="方正小标宋简体"/>
          <w:sz w:val="24"/>
        </w:rPr>
      </w:pPr>
      <w:r>
        <w:rPr>
          <w:rFonts w:hint="eastAsia" w:ascii="宋体" w:hAnsi="宋体" w:cs="方正小标宋简体"/>
          <w:sz w:val="24"/>
        </w:rPr>
        <w:t>单位：</w:t>
      </w:r>
      <w:r>
        <w:rPr>
          <w:rFonts w:hint="eastAsia" w:ascii="宋体" w:hAnsi="宋体"/>
          <w:bCs/>
          <w:sz w:val="24"/>
        </w:rPr>
        <w:t>（万元）</w:t>
      </w:r>
    </w:p>
    <w:tbl>
      <w:tblPr>
        <w:tblStyle w:val="10"/>
        <w:tblpPr w:leftFromText="180" w:rightFromText="180" w:vertAnchor="text" w:horzAnchor="page" w:tblpX="1935" w:tblpY="381"/>
        <w:tblOverlap w:val="never"/>
        <w:tblW w:w="8235" w:type="dxa"/>
        <w:tblInd w:w="0" w:type="dxa"/>
        <w:tblLayout w:type="fixed"/>
        <w:tblCellMar>
          <w:top w:w="0" w:type="dxa"/>
          <w:left w:w="108" w:type="dxa"/>
          <w:bottom w:w="0" w:type="dxa"/>
          <w:right w:w="108" w:type="dxa"/>
        </w:tblCellMar>
      </w:tblPr>
      <w:tblGrid>
        <w:gridCol w:w="1080"/>
        <w:gridCol w:w="3832"/>
        <w:gridCol w:w="2350"/>
        <w:gridCol w:w="973"/>
      </w:tblGrid>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b/>
                <w:bCs/>
                <w:color w:val="000000"/>
                <w:sz w:val="22"/>
                <w:szCs w:val="22"/>
              </w:rPr>
            </w:pPr>
            <w:r>
              <w:rPr>
                <w:rFonts w:hint="eastAsia" w:ascii="仿宋_GB2312" w:hAnsi="仿宋_GB2312" w:eastAsia="仿宋_GB2312" w:cs="仿宋_GB2312"/>
                <w:b/>
                <w:bCs/>
                <w:color w:val="000000"/>
                <w:kern w:val="0"/>
                <w:sz w:val="22"/>
                <w:szCs w:val="22"/>
                <w:lang w:bidi="ar"/>
              </w:rPr>
              <w:t>序号</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b/>
                <w:bCs/>
                <w:color w:val="000000"/>
                <w:sz w:val="22"/>
                <w:szCs w:val="22"/>
              </w:rPr>
            </w:pPr>
            <w:r>
              <w:rPr>
                <w:rFonts w:hint="eastAsia" w:ascii="仿宋_GB2312" w:hAnsi="仿宋_GB2312" w:eastAsia="仿宋_GB2312" w:cs="仿宋_GB2312"/>
                <w:b/>
                <w:bCs/>
                <w:color w:val="000000"/>
                <w:kern w:val="0"/>
                <w:sz w:val="22"/>
                <w:szCs w:val="22"/>
                <w:lang w:bidi="ar"/>
              </w:rPr>
              <w:t>企业名称</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b/>
                <w:bCs/>
                <w:color w:val="000000"/>
                <w:sz w:val="22"/>
                <w:szCs w:val="22"/>
              </w:rPr>
            </w:pPr>
            <w:r>
              <w:rPr>
                <w:rFonts w:hint="eastAsia" w:ascii="仿宋_GB2312" w:hAnsi="仿宋_GB2312" w:eastAsia="仿宋_GB2312" w:cs="仿宋_GB2312"/>
                <w:b/>
                <w:bCs/>
                <w:color w:val="000000"/>
                <w:kern w:val="0"/>
                <w:sz w:val="22"/>
                <w:szCs w:val="22"/>
                <w:lang w:bidi="ar"/>
              </w:rPr>
              <w:t>属地</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b/>
                <w:bCs/>
                <w:color w:val="000000"/>
                <w:sz w:val="22"/>
                <w:szCs w:val="22"/>
              </w:rPr>
            </w:pPr>
            <w:r>
              <w:rPr>
                <w:rFonts w:hint="eastAsia" w:ascii="仿宋_GB2312" w:hAnsi="仿宋_GB2312" w:eastAsia="仿宋_GB2312" w:cs="仿宋_GB2312"/>
                <w:b/>
                <w:bCs/>
                <w:color w:val="000000"/>
                <w:kern w:val="0"/>
                <w:sz w:val="22"/>
                <w:szCs w:val="22"/>
                <w:lang w:bidi="ar"/>
              </w:rPr>
              <w:t>金额</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罗特机械（嘉兴）有限公司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1.8</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虎王管道科技（浙江）有限公司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嘉兴九纵智能科技有限公司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顺木毛条智造（浙江）有限公司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浙江酷元智能设备有限公司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浙江精峰汽车部件制造有限公司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浙江魔毯智能科技有限公司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1.37</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highlight w:val="none"/>
                <w:lang w:bidi="ar"/>
              </w:rPr>
            </w:pPr>
            <w:r>
              <w:rPr>
                <w:rFonts w:hint="eastAsia" w:ascii="宋体" w:hAnsi="宋体" w:eastAsia="宋体" w:cs="宋体"/>
                <w:i w:val="0"/>
                <w:iCs w:val="0"/>
                <w:color w:val="000000"/>
                <w:kern w:val="0"/>
                <w:sz w:val="24"/>
                <w:szCs w:val="24"/>
                <w:u w:val="none"/>
                <w:lang w:val="en-US" w:eastAsia="zh-CN" w:bidi="ar"/>
              </w:rPr>
              <w:t>8</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嘉兴美森精密科技有限公司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9</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浙江尧丰科技有限公司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10</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浙江乐活家居用品有限公司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11</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浙江海桓智能科技有限公司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12</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浙江海奕博智能设备制造有限公司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13</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浙江英博御星新能源有限公司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14</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桐乡市宝禾医疗器械有限公司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15</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嘉兴凯亿得传动机械有限公司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16</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云盼科技（嘉兴）有限公司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17</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桐乡市美均智能控制技术有限公司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18</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扬正智能制造（浙江）有限公司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19</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浙江臣鑫新能源科技有限公司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0.56</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20</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桐乡钜丰科技有限公司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21</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桐乡市盛铭远科技有限公司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bidi="ar"/>
              </w:rPr>
            </w:pPr>
            <w:r>
              <w:rPr>
                <w:rFonts w:hint="eastAsia" w:ascii="宋体" w:hAnsi="宋体" w:eastAsia="宋体" w:cs="宋体"/>
                <w:i w:val="0"/>
                <w:iCs w:val="0"/>
                <w:color w:val="000000"/>
                <w:kern w:val="0"/>
                <w:sz w:val="24"/>
                <w:szCs w:val="24"/>
                <w:u w:val="none"/>
                <w:lang w:val="en-US" w:eastAsia="zh-CN" w:bidi="ar"/>
              </w:rPr>
              <w:t>22</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浙江昀琪实业有限公司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23</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桐乡市恒爱羊服饰有限公司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24</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浙江聚博纺织股份有限公司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25</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浙江恒元嘉信纺织科技有限公司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1.8</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26</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嘉兴嘉景纺织科技有限公司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27</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桐乡市智锐佳服饰有限公司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28</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浙江冠君纺织有限公司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梧桐街道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29</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桐乡市汇优纺织科技有限公司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凤鸣街道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30</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桐乡市汇纶新材料科技股份有限公司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凤鸣街道</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0.35</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31</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浙江飞织科技有限公司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32</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嘉兴礼嘉时装有限公司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33</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嘉兴金尊汇禾制衣有限公司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34</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浙江湘轩时装有限公司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35</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桐乡华鑫热力有限公司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36</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浙江桐诚机械科技有限公司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37</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浙江天泓波控电子科技有限公司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1.57</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38</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嘉兴伊媚智能织造有限公司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39</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嘉兴市航彩服饰有限公司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40</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桐乡市九峰纺织品有限公司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41</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浙江云袖实业股份有限公司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42</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桐乡市澳磊纺织品有限公司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43</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桐乡市妙芮服饰有限公司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44</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嘉兴羽希服饰有限公司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45</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桐乡市伊檬服饰有限公司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46</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广旭智能装备（嘉兴）有限公司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屠甸镇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47</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淳凯电子科技（浙江）有限公司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屠甸镇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48</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麦峰智造（浙江）有限公司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屠甸镇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49</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浙江品力时装有限公司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屠甸镇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50</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桐乡科捷智能制造有限公司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51</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嘉兴市摩范精密机械有限公司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0.52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52</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高富高新材料（浙江）有限公司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53</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浙江怿星智能制造有限公司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54</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嘉兴市喆利阳智能设备有限公司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55</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TW" w:bidi="ar"/>
              </w:rPr>
            </w:pPr>
            <w:r>
              <w:rPr>
                <w:rFonts w:hint="eastAsia" w:ascii="宋体" w:hAnsi="宋体" w:eastAsia="宋体" w:cs="宋体"/>
                <w:i w:val="0"/>
                <w:iCs w:val="0"/>
                <w:color w:val="000000"/>
                <w:kern w:val="0"/>
                <w:sz w:val="22"/>
                <w:szCs w:val="22"/>
                <w:u w:val="none"/>
                <w:lang w:val="en-US" w:eastAsia="zh-CN" w:bidi="ar"/>
              </w:rPr>
              <w:t>桐乡市豪润智能科技有限公司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1.25</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56</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浙江星运智能制造有限公司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0.51</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57</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TW" w:bidi="ar"/>
              </w:rPr>
            </w:pPr>
            <w:r>
              <w:rPr>
                <w:rFonts w:hint="eastAsia" w:ascii="宋体" w:hAnsi="宋体" w:eastAsia="宋体" w:cs="宋体"/>
                <w:i w:val="0"/>
                <w:iCs w:val="0"/>
                <w:color w:val="000000"/>
                <w:kern w:val="0"/>
                <w:sz w:val="22"/>
                <w:szCs w:val="22"/>
                <w:u w:val="none"/>
                <w:lang w:val="en-US" w:eastAsia="zh-CN" w:bidi="ar"/>
              </w:rPr>
              <w:t>桐乡市春雷丝绸有限公司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1.43</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58</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桐乡市惠氏科技有限公司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59</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嘉兴鑫业服饰科技股份有限公司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60</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耀维智能科技（浙江）有限公司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61</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浙江奇沃智能设备有限公司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62</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嘉兴市世环电器有限公司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63</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浙江湘睿金属有限公司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1.76</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64</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荔昌（浙江）新材料有限公司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65</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桐乡市中鸿新材料有限公司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66</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桐乡市鸿益热电有限公司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67</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桐乡市宝运纺织有限公司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68</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桐乡市宇欣纺织科技有限公司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0.7</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69</w:t>
            </w:r>
          </w:p>
        </w:tc>
        <w:tc>
          <w:tcPr>
            <w:tcW w:w="38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桐乡市源璟纺织有限公司</w:t>
            </w:r>
          </w:p>
        </w:tc>
        <w:tc>
          <w:tcPr>
            <w:tcW w:w="2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70</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浙江谦忆润智能家居有限公司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71</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浙江桑坦德纺织科技有限公司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72</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浙江宏雅智能家居有限公司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73</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桐乡市维凯纺织科技有限公司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74</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桐乡梵美纺织有限公司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75</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桐乡市安蒂斯纺织科技有限公司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76</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浙江桐禾纺织科技有限公司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77</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桐乡市胜越纺织股份有限公司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78</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桐乡纱越纺织科技有限公司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79</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浙江昊鑫新材料科技有限公司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80</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嘉兴浩辰新材料有限公司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81</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浙江宋泰智能流体装备有限公司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82</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嘉兴雄腾精密金属科技有限公司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83</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浙江光旭纺织科技有限公司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84</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浙江鑫柔科技有限公司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桐乡友信制衣有限公司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浙江宏鑫锂电有限公司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87</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鸿晟（桐乡）纺织设备有限公司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88</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桐乡市佳远纺织科技有限公司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0.32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89</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嘉兴锐角复合材料科技有限公司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灵思泰恪（浙江）科技有限公司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乌镇镇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91</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桐乡嘉得利纺织股份有限公司</w:t>
            </w:r>
          </w:p>
        </w:tc>
        <w:tc>
          <w:tcPr>
            <w:tcW w:w="2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石门镇</w:t>
            </w:r>
          </w:p>
        </w:tc>
        <w:tc>
          <w:tcPr>
            <w:tcW w:w="9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54"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92</w:t>
            </w:r>
          </w:p>
        </w:tc>
        <w:tc>
          <w:tcPr>
            <w:tcW w:w="3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浙江意赴纺织有限公司</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石门镇</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0.87</w:t>
            </w:r>
          </w:p>
        </w:tc>
      </w:tr>
      <w:tr>
        <w:tblPrEx>
          <w:tblCellMar>
            <w:top w:w="0" w:type="dxa"/>
            <w:left w:w="108" w:type="dxa"/>
            <w:bottom w:w="0" w:type="dxa"/>
            <w:right w:w="108" w:type="dxa"/>
          </w:tblCellMar>
        </w:tblPrEx>
        <w:trPr>
          <w:trHeight w:val="454" w:hRule="atLeast"/>
        </w:trPr>
        <w:tc>
          <w:tcPr>
            <w:tcW w:w="7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2"/>
                <w:sz w:val="22"/>
                <w:szCs w:val="22"/>
                <w:lang w:val="en-US" w:eastAsia="zh-CN" w:bidi="ar-SA"/>
              </w:rPr>
            </w:pPr>
            <w:r>
              <w:rPr>
                <w:rFonts w:hint="eastAsia" w:ascii="仿宋_GB2312" w:hAnsi="仿宋_GB2312" w:eastAsia="仿宋_GB2312" w:cs="仿宋_GB2312"/>
                <w:color w:val="000000"/>
                <w:kern w:val="0"/>
                <w:sz w:val="22"/>
                <w:szCs w:val="22"/>
                <w:lang w:bidi="ar"/>
              </w:rPr>
              <w:t>合计</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170.13</w:t>
            </w:r>
          </w:p>
        </w:tc>
      </w:tr>
    </w:tbl>
    <w:p>
      <w:pPr>
        <w:spacing w:line="400" w:lineRule="exact"/>
        <w:rPr>
          <w:rFonts w:ascii="黑体" w:hAnsi="黑体" w:eastAsia="黑体"/>
          <w:sz w:val="32"/>
          <w:szCs w:val="32"/>
        </w:rPr>
      </w:pPr>
    </w:p>
    <w:p>
      <w:pPr>
        <w:spacing w:line="400" w:lineRule="exact"/>
        <w:rPr>
          <w:rFonts w:ascii="黑体" w:hAnsi="黑体" w:eastAsia="黑体"/>
          <w:sz w:val="32"/>
          <w:szCs w:val="32"/>
        </w:rPr>
      </w:pPr>
    </w:p>
    <w:p>
      <w:pPr>
        <w:spacing w:line="400" w:lineRule="exact"/>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p>
    <w:p>
      <w:pPr>
        <w:spacing w:line="400" w:lineRule="exact"/>
        <w:rPr>
          <w:rFonts w:ascii="黑体" w:hAnsi="黑体" w:eastAsia="黑体"/>
          <w:sz w:val="32"/>
          <w:szCs w:val="32"/>
        </w:rPr>
      </w:pPr>
      <w:r>
        <w:rPr>
          <w:rFonts w:hint="eastAsia" w:ascii="黑体" w:hAnsi="黑体" w:eastAsia="黑体"/>
          <w:sz w:val="32"/>
          <w:szCs w:val="32"/>
        </w:rPr>
        <w:t>附件2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年度工业企业提档奖名单</w:t>
      </w:r>
    </w:p>
    <w:p>
      <w:pPr>
        <w:keepNext w:val="0"/>
        <w:keepLines w:val="0"/>
        <w:pageBreakBefore w:val="0"/>
        <w:widowControl w:val="0"/>
        <w:kinsoku/>
        <w:wordWrap/>
        <w:overflowPunct/>
        <w:topLinePunct w:val="0"/>
        <w:autoSpaceDE/>
        <w:autoSpaceDN/>
        <w:bidi w:val="0"/>
        <w:adjustRightInd/>
        <w:snapToGrid/>
        <w:spacing w:line="360" w:lineRule="exact"/>
        <w:ind w:right="120"/>
        <w:jc w:val="right"/>
        <w:textAlignment w:val="auto"/>
        <w:rPr>
          <w:rFonts w:ascii="宋体" w:hAnsi="宋体" w:cs="方正小标宋简体"/>
          <w:sz w:val="24"/>
        </w:rPr>
      </w:pPr>
      <w:r>
        <w:rPr>
          <w:rFonts w:hint="eastAsia" w:ascii="宋体" w:hAnsi="宋体" w:cs="方正小标宋简体"/>
          <w:sz w:val="24"/>
        </w:rPr>
        <w:t>单位：</w:t>
      </w:r>
      <w:r>
        <w:rPr>
          <w:rFonts w:hint="eastAsia" w:ascii="宋体" w:hAnsi="宋体"/>
          <w:bCs/>
          <w:sz w:val="24"/>
        </w:rPr>
        <w:t>（万元）</w:t>
      </w:r>
    </w:p>
    <w:tbl>
      <w:tblPr>
        <w:tblStyle w:val="10"/>
        <w:tblW w:w="9181" w:type="dxa"/>
        <w:jc w:val="center"/>
        <w:tblLayout w:type="fixed"/>
        <w:tblCellMar>
          <w:top w:w="0" w:type="dxa"/>
          <w:left w:w="108" w:type="dxa"/>
          <w:bottom w:w="0" w:type="dxa"/>
          <w:right w:w="108" w:type="dxa"/>
        </w:tblCellMar>
      </w:tblPr>
      <w:tblGrid>
        <w:gridCol w:w="709"/>
        <w:gridCol w:w="3850"/>
        <w:gridCol w:w="2040"/>
        <w:gridCol w:w="1600"/>
        <w:gridCol w:w="982"/>
      </w:tblGrid>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序号</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企业名称</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属地</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类别</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金额</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嘉兴锦明传动科技有限公司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嘉兴百诺电器有限公司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3.6</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浙江瑞成祥纺织科技有限公司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嘉兴新生纪智能科技有限公司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桐乡市鑫龙机械部件有限公司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嘉兴金都纺织股份有限公司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7</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浙江伟通复合材料有限公司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8</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浙江德诺食品有限公司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9</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浙江嘉年华针织服饰股份有限公司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10</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浙江杭丝时装股份有限公司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11</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浙江泓浩实业股份有限公司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12</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浙江商锦纺织科技股份有限公司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13</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桐乡华鑫热力有限公司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14</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浙江杰特优动力机械股份有限公司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15</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浙江联洋高分子材料有限公司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16</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浙江丝华智能家居有限公司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17</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桐乡市步申纺织有限公司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3.6</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18</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浙江惠兴畜产品有限公司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1.58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19</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浙江蚕缘家纺股份有限公司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20</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桐乡市鸿益热电有限公司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21</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浙江谦忆润智能家居有限公司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大麻镇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22</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桐乡市中伦新材料科技有限公司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23</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浙江必诺华健康科技有限公司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24</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浙江聚源和达环境科技有限公司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25</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浙江宏鑫锂电有限公司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26</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浙江华友浦项新能源材料有限公司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27</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浙江内曼格机械制造有限公司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28</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星驱科技（嘉兴）有限公司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29</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安闻汽车技术（浙江）有限公司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30</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兴隆翠汽车科技（浙江）有限公司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31</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顺木毛条智造（浙江）有限公司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32</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浙江德诺食品有限公司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 xml:space="preserve"> 33</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桐乡市汇丰电器压铸股份有限公司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34</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浙江隆佰嘉金属材料科技有限公司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升5亿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35</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振石华风（浙江）碳纤维材料有限公司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升10亿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12</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36</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浙江鑫可传动科技有限公司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升10亿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12</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37</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桐乡市中鸿新材料有限公司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升20亿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38</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浙江中泽精密科技股份有限公司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升20亿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w:t>
            </w:r>
          </w:p>
        </w:tc>
        <w:tc>
          <w:tcPr>
            <w:tcW w:w="38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浙江振石新材料股份有限公司</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升50亿</w:t>
            </w:r>
          </w:p>
        </w:tc>
        <w:tc>
          <w:tcPr>
            <w:tcW w:w="9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r>
      <w:tr>
        <w:tblPrEx>
          <w:tblCellMar>
            <w:top w:w="0" w:type="dxa"/>
            <w:left w:w="108" w:type="dxa"/>
            <w:bottom w:w="0" w:type="dxa"/>
            <w:right w:w="108" w:type="dxa"/>
          </w:tblCellMar>
        </w:tblPrEx>
        <w:trPr>
          <w:trHeight w:val="454" w:hRule="atLeast"/>
          <w:jc w:val="center"/>
        </w:trPr>
        <w:tc>
          <w:tcPr>
            <w:tcW w:w="8199"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合计</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264.78</w:t>
            </w:r>
          </w:p>
        </w:tc>
      </w:tr>
    </w:tbl>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spacing w:line="400" w:lineRule="exact"/>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spacing w:line="400" w:lineRule="exact"/>
        <w:rPr>
          <w:rFonts w:ascii="黑体" w:hAnsi="宋体" w:eastAsia="黑体" w:cs="仿宋_GB2312"/>
          <w:sz w:val="32"/>
          <w:szCs w:val="32"/>
        </w:rPr>
      </w:pPr>
      <w:r>
        <w:rPr>
          <w:rFonts w:hint="eastAsia" w:ascii="黑体" w:hAnsi="黑体" w:eastAsia="黑体"/>
          <w:sz w:val="32"/>
          <w:szCs w:val="32"/>
        </w:rPr>
        <w:t>附件3</w:t>
      </w:r>
    </w:p>
    <w:p>
      <w:pPr>
        <w:spacing w:line="4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年度工业企业创强奖名单</w:t>
      </w:r>
    </w:p>
    <w:p>
      <w:pPr>
        <w:pStyle w:val="14"/>
        <w:jc w:val="right"/>
      </w:pPr>
      <w:r>
        <w:rPr>
          <w:rFonts w:hint="eastAsia" w:hAnsi="宋体" w:cs="方正小标宋简体"/>
          <w:sz w:val="24"/>
        </w:rPr>
        <w:t>单位：</w:t>
      </w:r>
      <w:r>
        <w:rPr>
          <w:rFonts w:hint="eastAsia" w:hAnsi="宋体"/>
          <w:bCs/>
          <w:sz w:val="24"/>
        </w:rPr>
        <w:t>（万元）</w:t>
      </w:r>
    </w:p>
    <w:tbl>
      <w:tblPr>
        <w:tblStyle w:val="10"/>
        <w:tblW w:w="9799" w:type="dxa"/>
        <w:jc w:val="center"/>
        <w:tblLayout w:type="fixed"/>
        <w:tblCellMar>
          <w:top w:w="0" w:type="dxa"/>
          <w:left w:w="108" w:type="dxa"/>
          <w:bottom w:w="0" w:type="dxa"/>
          <w:right w:w="108" w:type="dxa"/>
        </w:tblCellMar>
      </w:tblPr>
      <w:tblGrid>
        <w:gridCol w:w="648"/>
        <w:gridCol w:w="4023"/>
        <w:gridCol w:w="1299"/>
        <w:gridCol w:w="2745"/>
        <w:gridCol w:w="1084"/>
      </w:tblGrid>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40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企业名称</w:t>
            </w:r>
          </w:p>
        </w:tc>
        <w:tc>
          <w:tcPr>
            <w:tcW w:w="129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属地</w:t>
            </w:r>
          </w:p>
        </w:tc>
        <w:tc>
          <w:tcPr>
            <w:tcW w:w="27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类别</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金额</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浙江鑫可传动科技有限公司</w:t>
            </w:r>
          </w:p>
        </w:tc>
        <w:tc>
          <w:tcPr>
            <w:tcW w:w="129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省级单项冠军</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6.45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振石集团华美新材料有限公司</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省级单项冠军</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6.45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浙江固本精密技术有限公司</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振石华风（浙江）碳纤维材料有限公司</w:t>
            </w:r>
          </w:p>
        </w:tc>
        <w:tc>
          <w:tcPr>
            <w:tcW w:w="129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5</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赛那德数字技术（嘉兴）有限公司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6</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浙江亿能聚建设有限公司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7</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浙江佑丰新材料股份有限公司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8</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嘉兴隆曼测控技术有限公司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9</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浙江沃工机械有限公司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10</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浙江孚威智能科技有限公司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11</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浙江美仪智能传感技术有限公司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12</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浙江慧林智能设备有限公司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13</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嘉兴新生纪智能科技有限公司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14</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正星（桐乡）健康科技有限公司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10.28</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15</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浙江恒诺环保科技有限公司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16</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桐乡市鑫龙机械部件有限公司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17</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浙江恒震特种材料股份有限公司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18</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格致博雅生物科技（嘉兴）有限公司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19</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嘉兴市华益股份有限公司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梧桐街道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20</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浙江友力建机电股份有限公司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21</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浙江晟禧精密机械科技有限公司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22</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桐乡市洁安居环保科技股份有限公司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凤鸣街道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23</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巨鑫建设集团有限公司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24</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浙江炜昇实业有限公司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濮院镇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25</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浙江万新纬燊纺织科技有限公司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屠甸镇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auto"/>
                <w:kern w:val="0"/>
                <w:sz w:val="22"/>
                <w:szCs w:val="22"/>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26</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浙江同普医疗科技有限公司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崇福镇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27</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浙江联洋先进材料有限公司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28</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浙江中鼎纺织科技有限公司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29</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怿星电子科技（浙江）有限公司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崇福镇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30</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浙江蚕缘家纺股份有限公司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洲泉镇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31</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浙江科隆五金股份有限公司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32</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桐乡市伟鼎科技股份有限公司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河山镇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33</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浙江测迅汽车科技有限公司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0.2</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34</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浙江赢时胜实业有限公司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35</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浙江聚源和达环境科技有限公司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36</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航信云享科技有限公司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37</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浙江佑瑞复合材料科技有限公司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石门镇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38</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浙江明强针织股份有限公司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石门镇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39</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浙江博新新能源科技股份有限公司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石门镇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10.22</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40</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浙江华泰新材有限公司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石门镇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省级专精特新</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10.75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41</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博森纺织科技股份有限公司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省级“隐形冠军”企业</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21.5</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42</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浙江中智鲸工智能装备有限公司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开发区（高桥街道）</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国家级专精特新“小巨人”</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43</w:t>
            </w:r>
          </w:p>
        </w:tc>
      </w:tr>
      <w:tr>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43</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浙江久易电子科技股份有限公司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濮院镇</w:t>
            </w:r>
          </w:p>
        </w:tc>
        <w:tc>
          <w:tcPr>
            <w:tcW w:w="27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国家级专精特新“小巨人”</w:t>
            </w:r>
          </w:p>
        </w:tc>
        <w:tc>
          <w:tcPr>
            <w:tcW w:w="10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43</w:t>
            </w:r>
          </w:p>
        </w:tc>
      </w:tr>
      <w:tr>
        <w:tblPrEx>
          <w:tblCellMar>
            <w:top w:w="0" w:type="dxa"/>
            <w:left w:w="108" w:type="dxa"/>
            <w:bottom w:w="0" w:type="dxa"/>
            <w:right w:w="108" w:type="dxa"/>
          </w:tblCellMar>
        </w:tblPrEx>
        <w:trPr>
          <w:trHeight w:val="680" w:hRule="exact"/>
          <w:jc w:val="center"/>
        </w:trPr>
        <w:tc>
          <w:tcPr>
            <w:tcW w:w="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44</w:t>
            </w:r>
          </w:p>
        </w:tc>
        <w:tc>
          <w:tcPr>
            <w:tcW w:w="40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墨卓生物科技（浙江）有限公司</w:t>
            </w:r>
          </w:p>
        </w:tc>
        <w:tc>
          <w:tcPr>
            <w:tcW w:w="12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乌镇镇</w:t>
            </w:r>
          </w:p>
        </w:tc>
        <w:tc>
          <w:tcPr>
            <w:tcW w:w="2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国家级专精特新“小巨人”</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43</w:t>
            </w:r>
          </w:p>
        </w:tc>
      </w:tr>
      <w:tr>
        <w:tblPrEx>
          <w:tblCellMar>
            <w:top w:w="0" w:type="dxa"/>
            <w:left w:w="108" w:type="dxa"/>
            <w:bottom w:w="0" w:type="dxa"/>
            <w:right w:w="108" w:type="dxa"/>
          </w:tblCellMar>
        </w:tblPrEx>
        <w:trPr>
          <w:trHeight w:val="680" w:hRule="exact"/>
          <w:jc w:val="center"/>
        </w:trPr>
        <w:tc>
          <w:tcPr>
            <w:tcW w:w="87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554.35</w:t>
            </w:r>
          </w:p>
        </w:tc>
      </w:tr>
    </w:tbl>
    <w:p>
      <w:pPr>
        <w:spacing w:line="580" w:lineRule="exact"/>
        <w:rPr>
          <w:rFonts w:ascii="黑体" w:hAnsi="宋体" w:eastAsia="黑体" w:cs="仿宋_GB2312"/>
          <w:sz w:val="32"/>
          <w:szCs w:val="32"/>
        </w:rPr>
      </w:pPr>
    </w:p>
    <w:p>
      <w:pPr>
        <w:spacing w:line="580" w:lineRule="exact"/>
        <w:rPr>
          <w:rFonts w:ascii="黑体" w:hAnsi="宋体" w:eastAsia="黑体"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仿宋_GB2312" w:eastAsia="仿宋_GB2312"/>
          <w:sz w:val="28"/>
          <w:szCs w:val="28"/>
        </w:rPr>
      </w:pP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84" w:rightChars="40"/>
        <w:textAlignment w:val="auto"/>
        <w:rPr>
          <w:rFonts w:hint="eastAsia" w:ascii="仿宋_GB2312" w:eastAsia="仿宋_GB2312"/>
          <w:sz w:val="18"/>
          <w:szCs w:val="18"/>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spacing w:line="580" w:lineRule="exact"/>
        <w:ind w:right="84" w:rightChars="40"/>
        <w:jc w:val="both"/>
        <w:rPr>
          <w:rFonts w:ascii="仿宋_GB2312" w:eastAsia="仿宋_GB2312"/>
          <w:sz w:val="24"/>
          <w:lang w:val="en" w:eastAsia="zh-CN"/>
        </w:rPr>
      </w:pPr>
      <w:r>
        <w:rPr>
          <w:rFonts w:hint="eastAsia" w:ascii="仿宋_GB2312" w:eastAsia="仿宋_GB2312"/>
          <w:sz w:val="28"/>
          <w:szCs w:val="28"/>
        </w:rPr>
        <mc:AlternateContent>
          <mc:Choice Requires="wps">
            <w:drawing>
              <wp:anchor distT="0" distB="0" distL="114300" distR="114300" simplePos="0" relativeHeight="251660288" behindDoc="0" locked="1" layoutInCell="1" allowOverlap="1">
                <wp:simplePos x="0" y="0"/>
                <wp:positionH relativeFrom="column">
                  <wp:posOffset>-9525</wp:posOffset>
                </wp:positionH>
                <wp:positionV relativeFrom="paragraph">
                  <wp:posOffset>71120</wp:posOffset>
                </wp:positionV>
                <wp:extent cx="5652135" cy="0"/>
                <wp:effectExtent l="0" t="9525" r="5715" b="9525"/>
                <wp:wrapNone/>
                <wp:docPr id="2" name="直接连接符 2"/>
                <wp:cNvGraphicFramePr/>
                <a:graphic xmlns:a="http://schemas.openxmlformats.org/drawingml/2006/main">
                  <a:graphicData uri="http://schemas.microsoft.com/office/word/2010/wordprocessingShape">
                    <wps:wsp>
                      <wps:cNvCnPr/>
                      <wps:spPr>
                        <a:xfrm>
                          <a:off x="0" y="0"/>
                          <a:ext cx="5652135"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5pt;margin-top:5.6pt;height:0pt;width:445.05pt;z-index:251660288;mso-width-relative:page;mso-height-relative:page;" filled="f" stroked="t" coordsize="21600,21600" o:gfxdata="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xCG9A1AAAAAgBAAAPAAAAAAAAAAEAIAAA&#10;ADgAAABkcnMvZG93bnJldi54bWxQSwECFAAUAAAACACHTuJAt6lhcfoBAADzAwAADgAAAAAAAAAB&#10;ACAAAAA5AQAAZHJzL2Uyb0RvYy54bWxQSwUGAAAAAAYABgBZAQAApQUAAAAA&#10;">
                <v:fill on="f" focussize="0,0"/>
                <v:stroke weight="1.5pt" color="#000000" joinstyle="round"/>
                <v:imagedata o:title=""/>
                <o:lock v:ext="edit" aspectratio="f"/>
                <w10:anchorlock/>
              </v:line>
            </w:pict>
          </mc:Fallback>
        </mc:AlternateContent>
      </w:r>
      <w:r>
        <w:rPr>
          <w:rFonts w:hint="eastAsia" w:ascii="仿宋_GB2312" w:eastAsia="仿宋_GB2312"/>
          <w:sz w:val="28"/>
          <w:szCs w:val="28"/>
        </w:rPr>
        <mc:AlternateContent>
          <mc:Choice Requires="wps">
            <w:drawing>
              <wp:anchor distT="0" distB="0" distL="114300" distR="114300" simplePos="0" relativeHeight="251659264" behindDoc="0" locked="1" layoutInCell="1" allowOverlap="1">
                <wp:simplePos x="0" y="0"/>
                <wp:positionH relativeFrom="column">
                  <wp:posOffset>9525</wp:posOffset>
                </wp:positionH>
                <wp:positionV relativeFrom="paragraph">
                  <wp:posOffset>414020</wp:posOffset>
                </wp:positionV>
                <wp:extent cx="5652135" cy="0"/>
                <wp:effectExtent l="0" t="9525" r="5715" b="9525"/>
                <wp:wrapNone/>
                <wp:docPr id="3" name="直接连接符 3"/>
                <wp:cNvGraphicFramePr/>
                <a:graphic xmlns:a="http://schemas.openxmlformats.org/drawingml/2006/main">
                  <a:graphicData uri="http://schemas.microsoft.com/office/word/2010/wordprocessingShape">
                    <wps:wsp>
                      <wps:cNvCnPr/>
                      <wps:spPr>
                        <a:xfrm>
                          <a:off x="0" y="0"/>
                          <a:ext cx="5652135"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5pt;margin-top:32.6pt;height:0pt;width:445.05pt;z-index:251659264;mso-width-relative:page;mso-height-relative:page;" filled="f" stroked="t" coordsize="21600,21600" o:gfxdata="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R9DQ/0wAAAAcBAAAPAAAAAAAAAAEAIAAA&#10;ADgAAABkcnMvZG93bnJldi54bWxQSwECFAAUAAAACACHTuJA+oSqN/sBAADzAwAADgAAAAAAAAAB&#10;ACAAAAA4AQAAZHJzL2Uyb0RvYy54bWxQSwUGAAAAAAYABgBZAQAApQUAAAAA&#10;">
                <v:fill on="f" focussize="0,0"/>
                <v:stroke weight="1.5pt" color="#000000" joinstyle="round"/>
                <v:imagedata o:title=""/>
                <o:lock v:ext="edit" aspectratio="f"/>
                <w10:anchorlock/>
              </v:line>
            </w:pict>
          </mc:Fallback>
        </mc:AlternateConten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桐乡市经济和信息化局办公室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26</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default" w:ascii="仿宋_GB2312" w:eastAsia="仿宋_GB2312"/>
          <w:sz w:val="28"/>
          <w:szCs w:val="28"/>
          <w:highlight w:val="none"/>
          <w:lang w:val="en-US" w:eastAsia="zh-CN"/>
        </w:rPr>
        <w:t>14</w:t>
      </w:r>
      <w:r>
        <w:rPr>
          <w:rFonts w:hint="eastAsia" w:ascii="仿宋_GB2312" w:eastAsia="仿宋_GB2312"/>
          <w:sz w:val="28"/>
          <w:szCs w:val="28"/>
        </w:rPr>
        <w:t>日印发</w:t>
      </w:r>
    </w:p>
    <w:sectPr>
      <w:footerReference r:id="rId5" w:type="default"/>
      <w:pgSz w:w="11906" w:h="16838"/>
      <w:pgMar w:top="2098" w:right="1474" w:bottom="2041"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Unicode MS">
    <w:altName w:val="Times New Roman"/>
    <w:panose1 w:val="020B0604020202020204"/>
    <w:charset w:val="00"/>
    <w:family w:val="roman"/>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-74295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line="240" w:lineRule="exact"/>
                            <w:ind w:left="210" w:leftChars="100" w:right="210" w:rightChars="100"/>
                            <w:rPr>
                              <w:rStyle w:val="12"/>
                              <w:rFonts w:ascii="仿宋_GB2312" w:hAnsi="宋体" w:eastAsia="仿宋_GB2312"/>
                              <w:sz w:val="28"/>
                              <w:szCs w:val="28"/>
                            </w:rPr>
                          </w:pPr>
                          <w:r>
                            <w:rPr>
                              <w:rFonts w:hint="eastAsia" w:ascii="仿宋_GB2312" w:eastAsia="仿宋_GB2312" w:cs="Symbol"/>
                              <w:sz w:val="28"/>
                              <w:szCs w:val="28"/>
                            </w:rPr>
                            <w:t xml:space="preserve">— </w:t>
                          </w:r>
                          <w:r>
                            <w:rPr>
                              <w:rFonts w:hint="eastAsia" w:ascii="仿宋_GB2312" w:eastAsia="仿宋_GB2312"/>
                              <w:sz w:val="28"/>
                              <w:szCs w:val="28"/>
                            </w:rPr>
                            <w:fldChar w:fldCharType="begin"/>
                          </w:r>
                          <w:r>
                            <w:rPr>
                              <w:rFonts w:hint="eastAsia" w:ascii="仿宋_GB2312" w:eastAsia="仿宋_GB2312"/>
                              <w:sz w:val="28"/>
                              <w:szCs w:val="28"/>
                            </w:rPr>
                            <w:instrText xml:space="preserve"> PAGE </w:instrText>
                          </w:r>
                          <w:r>
                            <w:rPr>
                              <w:rFonts w:hint="eastAsia" w:ascii="仿宋_GB2312" w:eastAsia="仿宋_GB2312"/>
                              <w:sz w:val="28"/>
                              <w:szCs w:val="28"/>
                            </w:rPr>
                            <w:fldChar w:fldCharType="separate"/>
                          </w:r>
                          <w:r>
                            <w:rPr>
                              <w:rFonts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t xml:space="preserve"> </w:t>
                          </w:r>
                          <w:r>
                            <w:rPr>
                              <w:rFonts w:hint="eastAsia" w:ascii="仿宋_GB2312" w:eastAsia="仿宋_GB2312" w:cs="Symbol"/>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8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itfRztYAAAAIAQAADwAAAAAAAAABACAA&#10;AAA4AAAAZHJzL2Rvd25yZXYueG1sUEsBAhQAFAAAAAgAh07iQH+OrREyAgAAYQQAAA4AAAAAAAAA&#10;AQAgAAAAOwEAAGRycy9lMm9Eb2MueG1sUEsFBgAAAAAGAAYAWQEAAN8FAAAAAA==&#10;">
              <v:fill on="f" focussize="0,0"/>
              <v:stroke on="f" weight="0.5pt"/>
              <v:imagedata o:title=""/>
              <o:lock v:ext="edit" aspectratio="f"/>
              <v:textbox inset="0mm,0mm,0mm,0mm" style="mso-fit-shape-to-text:t;">
                <w:txbxContent>
                  <w:p>
                    <w:pPr>
                      <w:pStyle w:val="6"/>
                      <w:spacing w:line="240" w:lineRule="exact"/>
                      <w:ind w:left="210" w:leftChars="100" w:right="210" w:rightChars="100"/>
                      <w:rPr>
                        <w:rStyle w:val="12"/>
                        <w:rFonts w:ascii="仿宋_GB2312" w:hAnsi="宋体" w:eastAsia="仿宋_GB2312"/>
                        <w:sz w:val="28"/>
                        <w:szCs w:val="28"/>
                      </w:rPr>
                    </w:pPr>
                    <w:r>
                      <w:rPr>
                        <w:rFonts w:hint="eastAsia" w:ascii="仿宋_GB2312" w:eastAsia="仿宋_GB2312" w:cs="Symbol"/>
                        <w:sz w:val="28"/>
                        <w:szCs w:val="28"/>
                      </w:rPr>
                      <w:t xml:space="preserve">— </w:t>
                    </w:r>
                    <w:r>
                      <w:rPr>
                        <w:rFonts w:hint="eastAsia" w:ascii="仿宋_GB2312" w:eastAsia="仿宋_GB2312"/>
                        <w:sz w:val="28"/>
                        <w:szCs w:val="28"/>
                      </w:rPr>
                      <w:fldChar w:fldCharType="begin"/>
                    </w:r>
                    <w:r>
                      <w:rPr>
                        <w:rFonts w:hint="eastAsia" w:ascii="仿宋_GB2312" w:eastAsia="仿宋_GB2312"/>
                        <w:sz w:val="28"/>
                        <w:szCs w:val="28"/>
                      </w:rPr>
                      <w:instrText xml:space="preserve"> PAGE </w:instrText>
                    </w:r>
                    <w:r>
                      <w:rPr>
                        <w:rFonts w:hint="eastAsia" w:ascii="仿宋_GB2312" w:eastAsia="仿宋_GB2312"/>
                        <w:sz w:val="28"/>
                        <w:szCs w:val="28"/>
                      </w:rPr>
                      <w:fldChar w:fldCharType="separate"/>
                    </w:r>
                    <w:r>
                      <w:rPr>
                        <w:rFonts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t xml:space="preserve"> </w:t>
                    </w:r>
                    <w:r>
                      <w:rPr>
                        <w:rFonts w:hint="eastAsia" w:ascii="仿宋_GB2312" w:eastAsia="仿宋_GB2312" w:cs="Symbol"/>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2"/>
      </w:rPr>
    </w:pPr>
    <w:r>
      <w:fldChar w:fldCharType="begin"/>
    </w:r>
    <w:r>
      <w:rPr>
        <w:rStyle w:val="12"/>
      </w:rPr>
      <w:instrText xml:space="preserve">PAGE  </w:instrText>
    </w:r>
    <w:r>
      <w:fldChar w:fldCharType="separate"/>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-74295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w:t>
                          </w:r>
                          <w:r>
                            <w:rPr>
                              <w:rFonts w:hint="eastAsia"/>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5.8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lhKPvNgAAAAIAQAA&#10;DwAAAAAAAAABACAAAAA4AAAAZHJzL2Rvd25yZXYueG1sUEsBAhQAFAAAAAgAh07iQFq6k8jKAQAA&#10;lwMAAA4AAAAAAAAAAQAgAAAAPQEAAGRycy9lMm9Eb2MueG1sUEsFBgAAAAAGAAYAWQEAAHkFAAAA&#10;AA==&#10;">
              <v:fill on="f" focussize="0,0"/>
              <v:stroke on="f" weight="1.25pt"/>
              <v:imagedata o:title=""/>
              <o:lock v:ext="edit" aspectratio="f"/>
              <v:textbox inset="0mm,0mm,0mm,0mm" style="mso-fit-shape-to-text:t;">
                <w:txbxContent>
                  <w:p>
                    <w:pPr>
                      <w:snapToGrid w:val="0"/>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w:t>
                    </w:r>
                    <w:r>
                      <w:rPr>
                        <w:rFonts w:hint="eastAsia"/>
                        <w:sz w:val="24"/>
                        <w:szCs w:val="24"/>
                      </w:rPr>
                      <w:fldChar w:fldCharType="end"/>
                    </w:r>
                  </w:p>
                </w:txbxContent>
              </v:textbox>
            </v:shape>
          </w:pict>
        </mc:Fallback>
      </mc:AlternateContent>
    </w:r>
    <w:r>
      <w:rPr>
        <w:rFonts w:hint="eastAsia"/>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YTkzYjdiZmQwYjVjMTM0NDZjNzkzY2NjNzNkOTkifQ=="/>
  </w:docVars>
  <w:rsids>
    <w:rsidRoot w:val="4FEC225E"/>
    <w:rsid w:val="002E7CE3"/>
    <w:rsid w:val="0046558C"/>
    <w:rsid w:val="0096469E"/>
    <w:rsid w:val="00A4031D"/>
    <w:rsid w:val="00B20A97"/>
    <w:rsid w:val="00B56369"/>
    <w:rsid w:val="00E902F9"/>
    <w:rsid w:val="01946E2C"/>
    <w:rsid w:val="03063183"/>
    <w:rsid w:val="036A7B3C"/>
    <w:rsid w:val="040800DB"/>
    <w:rsid w:val="047D06A3"/>
    <w:rsid w:val="065F7427"/>
    <w:rsid w:val="06924B97"/>
    <w:rsid w:val="09271C52"/>
    <w:rsid w:val="0C4C2B9C"/>
    <w:rsid w:val="0CBF23F5"/>
    <w:rsid w:val="0CF802C2"/>
    <w:rsid w:val="0D2C3CE0"/>
    <w:rsid w:val="0D7C2EC4"/>
    <w:rsid w:val="0F4A0448"/>
    <w:rsid w:val="0F5A5079"/>
    <w:rsid w:val="0F9F69E6"/>
    <w:rsid w:val="11303A70"/>
    <w:rsid w:val="1227406E"/>
    <w:rsid w:val="12723C8A"/>
    <w:rsid w:val="12732A2D"/>
    <w:rsid w:val="134815DD"/>
    <w:rsid w:val="14C440FB"/>
    <w:rsid w:val="150B00F7"/>
    <w:rsid w:val="18CE5C46"/>
    <w:rsid w:val="1AF513F4"/>
    <w:rsid w:val="1B124A3E"/>
    <w:rsid w:val="1B142A27"/>
    <w:rsid w:val="1B246C5F"/>
    <w:rsid w:val="1B4E18D0"/>
    <w:rsid w:val="1D8C0A0F"/>
    <w:rsid w:val="20861024"/>
    <w:rsid w:val="20B40281"/>
    <w:rsid w:val="22917F09"/>
    <w:rsid w:val="24235331"/>
    <w:rsid w:val="29D11A3A"/>
    <w:rsid w:val="2A3A5026"/>
    <w:rsid w:val="2A3E55BE"/>
    <w:rsid w:val="2CDF2DE1"/>
    <w:rsid w:val="2D8E211C"/>
    <w:rsid w:val="2DD75BA4"/>
    <w:rsid w:val="2ED03E1A"/>
    <w:rsid w:val="301448B7"/>
    <w:rsid w:val="30BD1F4D"/>
    <w:rsid w:val="30E61C59"/>
    <w:rsid w:val="32AD727A"/>
    <w:rsid w:val="34077E0F"/>
    <w:rsid w:val="35734D1C"/>
    <w:rsid w:val="359E4EC6"/>
    <w:rsid w:val="378D05CD"/>
    <w:rsid w:val="37A3148F"/>
    <w:rsid w:val="38295CCE"/>
    <w:rsid w:val="382F7BAA"/>
    <w:rsid w:val="39706B79"/>
    <w:rsid w:val="39A10000"/>
    <w:rsid w:val="39A83127"/>
    <w:rsid w:val="3A3C0EF2"/>
    <w:rsid w:val="3B1C5A87"/>
    <w:rsid w:val="3CF0088C"/>
    <w:rsid w:val="3CFE65DA"/>
    <w:rsid w:val="3D3B7C7C"/>
    <w:rsid w:val="3DFCAEB8"/>
    <w:rsid w:val="3E011B65"/>
    <w:rsid w:val="3EEB1825"/>
    <w:rsid w:val="40715A95"/>
    <w:rsid w:val="409C2CF7"/>
    <w:rsid w:val="41673914"/>
    <w:rsid w:val="42507205"/>
    <w:rsid w:val="43086C58"/>
    <w:rsid w:val="433B1FA6"/>
    <w:rsid w:val="437FE0BF"/>
    <w:rsid w:val="43E30CD8"/>
    <w:rsid w:val="45632D53"/>
    <w:rsid w:val="46C96C35"/>
    <w:rsid w:val="471E16DE"/>
    <w:rsid w:val="479954ED"/>
    <w:rsid w:val="47AB06DB"/>
    <w:rsid w:val="486E76BE"/>
    <w:rsid w:val="4AC85723"/>
    <w:rsid w:val="4B0C75CC"/>
    <w:rsid w:val="4CF65190"/>
    <w:rsid w:val="4D5951C3"/>
    <w:rsid w:val="4DAF1600"/>
    <w:rsid w:val="4DDD2D7D"/>
    <w:rsid w:val="4F2E6F88"/>
    <w:rsid w:val="4FEC225E"/>
    <w:rsid w:val="4FFF4926"/>
    <w:rsid w:val="51D84D94"/>
    <w:rsid w:val="520E0886"/>
    <w:rsid w:val="52F92F5A"/>
    <w:rsid w:val="53242390"/>
    <w:rsid w:val="53955094"/>
    <w:rsid w:val="55906836"/>
    <w:rsid w:val="55E11B8E"/>
    <w:rsid w:val="577504BC"/>
    <w:rsid w:val="57D52A90"/>
    <w:rsid w:val="58262A75"/>
    <w:rsid w:val="58315215"/>
    <w:rsid w:val="584B02A0"/>
    <w:rsid w:val="58654CA4"/>
    <w:rsid w:val="588B0E82"/>
    <w:rsid w:val="58BE2FCB"/>
    <w:rsid w:val="59D7B0D1"/>
    <w:rsid w:val="5AC75589"/>
    <w:rsid w:val="5B400A50"/>
    <w:rsid w:val="5BC41CC4"/>
    <w:rsid w:val="5C221AFC"/>
    <w:rsid w:val="5CAD7A90"/>
    <w:rsid w:val="5D1C6DB3"/>
    <w:rsid w:val="5F086C7F"/>
    <w:rsid w:val="5F614777"/>
    <w:rsid w:val="61481DDD"/>
    <w:rsid w:val="633A21A0"/>
    <w:rsid w:val="639F056C"/>
    <w:rsid w:val="63D42DF4"/>
    <w:rsid w:val="660D048C"/>
    <w:rsid w:val="66CB15A6"/>
    <w:rsid w:val="68356C2D"/>
    <w:rsid w:val="68375A0F"/>
    <w:rsid w:val="68821E0D"/>
    <w:rsid w:val="69FF2A4C"/>
    <w:rsid w:val="6AD30F68"/>
    <w:rsid w:val="6AEF5059"/>
    <w:rsid w:val="6B7F9216"/>
    <w:rsid w:val="6C5C02F4"/>
    <w:rsid w:val="6CF133C2"/>
    <w:rsid w:val="6D54763D"/>
    <w:rsid w:val="703A13A6"/>
    <w:rsid w:val="70AC7AC8"/>
    <w:rsid w:val="72FA6E12"/>
    <w:rsid w:val="72FE34C2"/>
    <w:rsid w:val="73C673AD"/>
    <w:rsid w:val="75461F61"/>
    <w:rsid w:val="768750B8"/>
    <w:rsid w:val="768B0BE7"/>
    <w:rsid w:val="768D2388"/>
    <w:rsid w:val="77CC3457"/>
    <w:rsid w:val="79F66975"/>
    <w:rsid w:val="7B5B66AE"/>
    <w:rsid w:val="7B825409"/>
    <w:rsid w:val="7E125FC0"/>
    <w:rsid w:val="7E546EF3"/>
    <w:rsid w:val="7F191F68"/>
    <w:rsid w:val="7F578450"/>
    <w:rsid w:val="7F6C2F0C"/>
    <w:rsid w:val="7FDEDDBF"/>
    <w:rsid w:val="8CD2A2B8"/>
    <w:rsid w:val="96CF6683"/>
    <w:rsid w:val="BBCFCF35"/>
    <w:rsid w:val="BBF7AA24"/>
    <w:rsid w:val="BFCFDBA9"/>
    <w:rsid w:val="C9B62CE4"/>
    <w:rsid w:val="F7BFAAD8"/>
    <w:rsid w:val="F7FEE979"/>
    <w:rsid w:val="FF578051"/>
    <w:rsid w:val="FFBB47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99"/>
    <w:pPr>
      <w:spacing w:after="120" w:line="480" w:lineRule="auto"/>
      <w:ind w:left="420" w:leftChars="200"/>
    </w:pPr>
    <w:rPr>
      <w:rFonts w:eastAsia="宋体"/>
    </w:rPr>
  </w:style>
  <w:style w:type="paragraph" w:styleId="4">
    <w:name w:val="Plain Text"/>
    <w:basedOn w:val="1"/>
    <w:qFormat/>
    <w:uiPriority w:val="0"/>
    <w:rPr>
      <w:rFonts w:ascii="宋体" w:hAnsi="Courier New" w:cs="Courier New"/>
      <w:szCs w:val="21"/>
    </w:rPr>
  </w:style>
  <w:style w:type="paragraph" w:styleId="5">
    <w:name w:val="endnote text"/>
    <w:basedOn w:val="1"/>
    <w:unhideWhenUsed/>
    <w:qFormat/>
    <w:uiPriority w:val="0"/>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0"/>
    <w:pPr>
      <w:spacing w:line="360" w:lineRule="auto"/>
      <w:ind w:left="420" w:leftChars="200"/>
    </w:p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page number"/>
    <w:basedOn w:val="11"/>
    <w:qFormat/>
    <w:uiPriority w:val="0"/>
  </w:style>
  <w:style w:type="character" w:styleId="13">
    <w:name w:val="Emphasis"/>
    <w:basedOn w:val="11"/>
    <w:qFormat/>
    <w:uiPriority w:val="0"/>
    <w:rPr>
      <w:i/>
    </w:rPr>
  </w:style>
  <w:style w:type="paragraph" w:customStyle="1" w:styleId="14">
    <w:name w:val="纯文本1"/>
    <w:basedOn w:val="1"/>
    <w:qFormat/>
    <w:uiPriority w:val="0"/>
    <w:pPr>
      <w:widowControl/>
      <w:spacing w:line="360" w:lineRule="auto"/>
    </w:pPr>
    <w:rPr>
      <w:rFonts w:ascii="宋体" w:hAnsi="Courier New" w:cs="Courier New"/>
      <w:kern w:val="0"/>
      <w:lang w:eastAsia="en-US" w:bidi="en-US"/>
    </w:rPr>
  </w:style>
  <w:style w:type="paragraph" w:customStyle="1" w:styleId="15">
    <w:name w:val="正文 New New New New New"/>
    <w:next w:val="1"/>
    <w:qFormat/>
    <w:uiPriority w:val="0"/>
    <w:pPr>
      <w:widowControl w:val="0"/>
      <w:spacing w:line="360" w:lineRule="auto"/>
      <w:jc w:val="both"/>
    </w:pPr>
    <w:rPr>
      <w:rFonts w:ascii="Times New Roman" w:hAnsi="Times New Roman" w:eastAsia="仿宋" w:cs="Calibri"/>
      <w:kern w:val="2"/>
      <w:sz w:val="32"/>
      <w:szCs w:val="32"/>
      <w:lang w:val="en-US" w:eastAsia="zh-CN" w:bidi="ar-SA"/>
    </w:rPr>
  </w:style>
  <w:style w:type="paragraph" w:customStyle="1" w:styleId="16">
    <w:name w:val="p0"/>
    <w:basedOn w:val="1"/>
    <w:qFormat/>
    <w:uiPriority w:val="0"/>
    <w:pPr>
      <w:widowControl/>
    </w:pPr>
    <w:rPr>
      <w:rFonts w:ascii="Times New Roman" w:hAnsi="Times New Roman" w:eastAsia="宋体" w:cs="Times New Roman"/>
      <w:kern w:val="0"/>
      <w:szCs w:val="21"/>
    </w:rPr>
  </w:style>
  <w:style w:type="character" w:customStyle="1" w:styleId="17">
    <w:name w:val="页眉 字符"/>
    <w:basedOn w:val="11"/>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data/weboffice/C:\Users\lxy\Desktop\&#25552;&#26723;&#21019;&#24378;\25.3&#21319;&#32423;&#25552;&#26723;&#21019;&#24378;\&#20851;&#20110;&#19979;&#36798;2024&#24180;&#24230;&#26704;&#20065;&#24066;&#20225;&#19994;&#21319;&#32423;&#25552;&#26723;&#21019;&#24378;&#22870;&#21169;&#30340;&#36890;&#30693;.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4545</Words>
  <Characters>5003</Characters>
  <Lines>31</Lines>
  <Paragraphs>8</Paragraphs>
  <TotalTime>1</TotalTime>
  <ScaleCrop>false</ScaleCrop>
  <LinksUpToDate>false</LinksUpToDate>
  <CharactersWithSpaces>5070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2025-08-21T10:11:00Z</dcterms:created>
  <dc:creator>木星冲浪冠军</dc:creator>
  <cp:lastModifiedBy>user</cp:lastModifiedBy>
  <dcterms:modified xsi:type="dcterms:W3CDTF">2026-09-14T09:01:21Z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ECD35B8D365A414EB1061334B9B94E78_13</vt:lpwstr>
  </property>
  <property fmtid="{D5CDD505-2E9C-101B-9397-08002B2CF9AE}" pid="4" name="KSOTemplateDocerSaveRecord">
    <vt:lpwstr>eyJoZGlkIjoiODViY2JkMjU3NGYzZTEwMzZmMGFkZWViYmNkYWU3NDIiLCJ1c2VySWQiOiIyMDUxNjU4MjAifQ==</vt:lpwstr>
  </property>
</Properties>
</file>